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884" w:rsidRDefault="00A3510B" w:rsidP="00636D6F">
      <w:pPr>
        <w:spacing w:after="0" w:line="240" w:lineRule="auto"/>
        <w:jc w:val="both"/>
      </w:pPr>
      <w:bookmarkStart w:id="0" w:name="_GoBack"/>
      <w:bookmarkEnd w:id="0"/>
      <w:r w:rsidRPr="00A3510B">
        <w:rPr>
          <w:noProof/>
        </w:rPr>
        <w:drawing>
          <wp:anchor distT="0" distB="0" distL="114300" distR="114300" simplePos="0" relativeHeight="251665408" behindDoc="0" locked="0" layoutInCell="1" allowOverlap="1">
            <wp:simplePos x="0" y="0"/>
            <wp:positionH relativeFrom="column">
              <wp:align>right</wp:align>
            </wp:positionH>
            <wp:positionV relativeFrom="paragraph">
              <wp:align>top</wp:align>
            </wp:positionV>
            <wp:extent cx="2038350" cy="68580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38350" cy="685800"/>
                    </a:xfrm>
                    <a:prstGeom prst="rect">
                      <a:avLst/>
                    </a:prstGeom>
                    <a:noFill/>
                    <a:ln w="9525">
                      <a:noFill/>
                      <a:miter lim="800000"/>
                      <a:headEnd/>
                      <a:tailEnd/>
                    </a:ln>
                  </pic:spPr>
                </pic:pic>
              </a:graphicData>
            </a:graphic>
          </wp:anchor>
        </w:drawing>
      </w:r>
    </w:p>
    <w:p w:rsidR="00A3510B" w:rsidRDefault="00A3510B" w:rsidP="00A3510B">
      <w:pPr>
        <w:spacing w:after="0" w:line="240" w:lineRule="auto"/>
        <w:jc w:val="both"/>
        <w:rPr>
          <w:b/>
        </w:rPr>
      </w:pPr>
    </w:p>
    <w:p w:rsidR="00A3510B" w:rsidRDefault="00A3510B" w:rsidP="00A3510B">
      <w:pPr>
        <w:spacing w:after="0" w:line="240" w:lineRule="auto"/>
        <w:jc w:val="both"/>
        <w:rPr>
          <w:b/>
        </w:rPr>
      </w:pPr>
    </w:p>
    <w:p w:rsidR="00A3510B" w:rsidRDefault="00A3510B" w:rsidP="00A3510B">
      <w:pPr>
        <w:spacing w:after="0" w:line="240" w:lineRule="auto"/>
        <w:jc w:val="both"/>
        <w:rPr>
          <w:b/>
        </w:rPr>
      </w:pPr>
    </w:p>
    <w:p w:rsidR="00A3510B" w:rsidRDefault="00A3510B" w:rsidP="00A3510B">
      <w:pPr>
        <w:spacing w:after="0" w:line="240" w:lineRule="auto"/>
        <w:jc w:val="both"/>
        <w:rPr>
          <w:b/>
        </w:rPr>
      </w:pPr>
    </w:p>
    <w:p w:rsidR="00A3510B" w:rsidRPr="00216669" w:rsidRDefault="00A3510B" w:rsidP="00A3510B">
      <w:pPr>
        <w:shd w:val="clear" w:color="auto" w:fill="EAF1DD" w:themeFill="accent3" w:themeFillTint="33"/>
        <w:spacing w:after="120"/>
        <w:jc w:val="both"/>
        <w:outlineLvl w:val="1"/>
        <w:rPr>
          <w:rFonts w:cstheme="minorHAnsi"/>
          <w:b/>
          <w:color w:val="808080" w:themeColor="background1" w:themeShade="80"/>
          <w:kern w:val="36"/>
        </w:rPr>
      </w:pPr>
      <w:r w:rsidRPr="00216669">
        <w:rPr>
          <w:rFonts w:cstheme="minorHAnsi"/>
          <w:b/>
          <w:color w:val="808080" w:themeColor="background1" w:themeShade="80"/>
          <w:kern w:val="36"/>
        </w:rPr>
        <w:t>University P</w:t>
      </w:r>
      <w:r w:rsidR="009731DE">
        <w:rPr>
          <w:rFonts w:cstheme="minorHAnsi"/>
          <w:b/>
          <w:color w:val="808080" w:themeColor="background1" w:themeShade="80"/>
          <w:kern w:val="36"/>
        </w:rPr>
        <w:t>athways Europe</w:t>
      </w:r>
      <w:r w:rsidRPr="00216669">
        <w:rPr>
          <w:rFonts w:cstheme="minorHAnsi"/>
          <w:b/>
          <w:color w:val="808080" w:themeColor="background1" w:themeShade="80"/>
          <w:kern w:val="36"/>
        </w:rPr>
        <w:t xml:space="preserve"> Division </w:t>
      </w:r>
    </w:p>
    <w:p w:rsidR="00A3510B" w:rsidRPr="003B5782" w:rsidRDefault="002B399E" w:rsidP="00A3510B">
      <w:pPr>
        <w:shd w:val="clear" w:color="auto" w:fill="EAF1DD" w:themeFill="accent3" w:themeFillTint="33"/>
        <w:spacing w:after="120"/>
        <w:jc w:val="both"/>
        <w:outlineLvl w:val="1"/>
        <w:rPr>
          <w:rFonts w:cstheme="minorHAnsi"/>
          <w:b/>
          <w:color w:val="808080" w:themeColor="background1" w:themeShade="80"/>
          <w:kern w:val="36"/>
          <w:sz w:val="24"/>
          <w:szCs w:val="24"/>
        </w:rPr>
      </w:pPr>
      <w:r w:rsidRPr="003B5782">
        <w:rPr>
          <w:rFonts w:cstheme="minorHAnsi"/>
          <w:b/>
          <w:kern w:val="36"/>
          <w:sz w:val="24"/>
          <w:szCs w:val="24"/>
        </w:rPr>
        <w:t>QUALITY MANUAL</w:t>
      </w:r>
    </w:p>
    <w:p w:rsidR="00A3510B" w:rsidRPr="002355E2" w:rsidRDefault="00CC0409" w:rsidP="00A3510B">
      <w:pPr>
        <w:shd w:val="clear" w:color="auto" w:fill="EAF1DD" w:themeFill="accent3" w:themeFillTint="33"/>
        <w:spacing w:after="120"/>
        <w:jc w:val="both"/>
        <w:outlineLvl w:val="1"/>
        <w:rPr>
          <w:rFonts w:cstheme="minorHAnsi"/>
          <w:b/>
          <w:kern w:val="36"/>
          <w:sz w:val="18"/>
          <w:szCs w:val="18"/>
        </w:rPr>
      </w:pPr>
      <w:r>
        <w:rPr>
          <w:rFonts w:cstheme="minorHAnsi"/>
          <w:b/>
          <w:kern w:val="36"/>
          <w:sz w:val="18"/>
          <w:szCs w:val="18"/>
        </w:rPr>
        <w:t xml:space="preserve">Version </w:t>
      </w:r>
      <w:r w:rsidR="00590ABD">
        <w:rPr>
          <w:rFonts w:cstheme="minorHAnsi"/>
          <w:b/>
          <w:kern w:val="36"/>
          <w:sz w:val="18"/>
          <w:szCs w:val="18"/>
        </w:rPr>
        <w:t>1.</w:t>
      </w:r>
      <w:r w:rsidR="009731DE">
        <w:rPr>
          <w:rFonts w:cstheme="minorHAnsi"/>
          <w:b/>
          <w:kern w:val="36"/>
          <w:sz w:val="18"/>
          <w:szCs w:val="18"/>
        </w:rPr>
        <w:t>17</w:t>
      </w:r>
    </w:p>
    <w:p w:rsidR="00D61360" w:rsidRDefault="00D61360" w:rsidP="00D61360">
      <w:pPr>
        <w:spacing w:after="0" w:line="240" w:lineRule="auto"/>
        <w:jc w:val="both"/>
        <w:rPr>
          <w:b/>
        </w:rPr>
      </w:pPr>
    </w:p>
    <w:p w:rsidR="00D61360" w:rsidRDefault="00D61360" w:rsidP="00D61360">
      <w:pPr>
        <w:spacing w:after="0" w:line="240" w:lineRule="auto"/>
        <w:jc w:val="both"/>
        <w:rPr>
          <w:b/>
        </w:rPr>
      </w:pPr>
    </w:p>
    <w:p w:rsidR="00D61360" w:rsidRPr="00E913F9" w:rsidRDefault="00D61360" w:rsidP="00D61360">
      <w:pPr>
        <w:spacing w:after="0" w:line="240" w:lineRule="auto"/>
        <w:jc w:val="both"/>
        <w:rPr>
          <w:b/>
        </w:rPr>
      </w:pPr>
      <w:r w:rsidRPr="00E913F9">
        <w:rPr>
          <w:b/>
        </w:rPr>
        <w:t>Contents</w:t>
      </w:r>
    </w:p>
    <w:p w:rsidR="00D61360" w:rsidRDefault="00D61360" w:rsidP="00D61360">
      <w:pPr>
        <w:spacing w:after="0" w:line="240" w:lineRule="auto"/>
        <w:jc w:val="both"/>
      </w:pPr>
    </w:p>
    <w:p w:rsidR="00D61360" w:rsidRPr="00D61360" w:rsidRDefault="00D61360" w:rsidP="00BB5641">
      <w:pPr>
        <w:pStyle w:val="ListParagraph"/>
        <w:numPr>
          <w:ilvl w:val="0"/>
          <w:numId w:val="17"/>
        </w:numPr>
        <w:ind w:left="567" w:hanging="567"/>
        <w:jc w:val="both"/>
        <w:rPr>
          <w:rFonts w:asciiTheme="minorHAnsi" w:hAnsiTheme="minorHAnsi"/>
          <w:b/>
          <w:sz w:val="22"/>
          <w:szCs w:val="22"/>
        </w:rPr>
      </w:pPr>
      <w:r w:rsidRPr="00D61360">
        <w:rPr>
          <w:rFonts w:asciiTheme="minorHAnsi" w:hAnsiTheme="minorHAnsi"/>
          <w:b/>
          <w:sz w:val="22"/>
          <w:szCs w:val="22"/>
        </w:rPr>
        <w:t>Overview and Purpose</w:t>
      </w:r>
    </w:p>
    <w:p w:rsidR="00D61360" w:rsidRPr="00496DE4" w:rsidRDefault="00496DE4" w:rsidP="00496DE4">
      <w:pPr>
        <w:pStyle w:val="ListParagraph"/>
        <w:numPr>
          <w:ilvl w:val="1"/>
          <w:numId w:val="17"/>
        </w:numPr>
        <w:ind w:left="567" w:hanging="567"/>
        <w:jc w:val="both"/>
        <w:rPr>
          <w:rFonts w:asciiTheme="minorHAnsi" w:hAnsiTheme="minorHAnsi"/>
          <w:sz w:val="22"/>
          <w:szCs w:val="22"/>
        </w:rPr>
      </w:pPr>
      <w:r w:rsidRPr="00496DE4">
        <w:rPr>
          <w:rFonts w:asciiTheme="minorHAnsi" w:hAnsiTheme="minorHAnsi"/>
          <w:sz w:val="22"/>
          <w:szCs w:val="22"/>
        </w:rPr>
        <w:t>Context</w:t>
      </w:r>
    </w:p>
    <w:p w:rsidR="00496DE4" w:rsidRPr="00496DE4" w:rsidRDefault="00496DE4" w:rsidP="00496DE4">
      <w:pPr>
        <w:pStyle w:val="ListParagraph"/>
        <w:numPr>
          <w:ilvl w:val="1"/>
          <w:numId w:val="17"/>
        </w:numPr>
        <w:ind w:left="567" w:hanging="567"/>
        <w:jc w:val="both"/>
        <w:rPr>
          <w:rFonts w:asciiTheme="minorHAnsi" w:hAnsiTheme="minorHAnsi"/>
          <w:sz w:val="22"/>
          <w:szCs w:val="22"/>
        </w:rPr>
      </w:pPr>
      <w:r w:rsidRPr="00496DE4">
        <w:rPr>
          <w:rFonts w:asciiTheme="minorHAnsi" w:hAnsiTheme="minorHAnsi"/>
          <w:sz w:val="22"/>
          <w:szCs w:val="22"/>
        </w:rPr>
        <w:t>Scope</w:t>
      </w:r>
    </w:p>
    <w:p w:rsidR="00496DE4" w:rsidRPr="00496DE4" w:rsidRDefault="00496DE4" w:rsidP="00496DE4">
      <w:pPr>
        <w:jc w:val="both"/>
        <w:rPr>
          <w:b/>
        </w:rPr>
      </w:pPr>
    </w:p>
    <w:p w:rsidR="00D61360" w:rsidRDefault="00496DE4" w:rsidP="00BB5641">
      <w:pPr>
        <w:pStyle w:val="ListParagraph"/>
        <w:numPr>
          <w:ilvl w:val="0"/>
          <w:numId w:val="17"/>
        </w:numPr>
        <w:ind w:left="567" w:hanging="567"/>
        <w:jc w:val="both"/>
        <w:rPr>
          <w:rFonts w:asciiTheme="minorHAnsi" w:hAnsiTheme="minorHAnsi"/>
          <w:b/>
          <w:sz w:val="22"/>
          <w:szCs w:val="22"/>
        </w:rPr>
      </w:pPr>
      <w:r>
        <w:rPr>
          <w:rFonts w:asciiTheme="minorHAnsi" w:hAnsiTheme="minorHAnsi"/>
          <w:b/>
          <w:sz w:val="22"/>
          <w:szCs w:val="22"/>
        </w:rPr>
        <w:t>Academic Governance</w:t>
      </w:r>
    </w:p>
    <w:p w:rsidR="00D61360" w:rsidRPr="00D61360" w:rsidRDefault="00496DE4" w:rsidP="00BB5641">
      <w:pPr>
        <w:pStyle w:val="ListParagraph"/>
        <w:numPr>
          <w:ilvl w:val="1"/>
          <w:numId w:val="17"/>
        </w:numPr>
        <w:ind w:left="567" w:hanging="567"/>
        <w:jc w:val="both"/>
        <w:rPr>
          <w:rFonts w:asciiTheme="minorHAnsi" w:hAnsiTheme="minorHAnsi"/>
          <w:sz w:val="22"/>
          <w:szCs w:val="22"/>
        </w:rPr>
      </w:pPr>
      <w:r>
        <w:rPr>
          <w:rFonts w:asciiTheme="minorHAnsi" w:hAnsiTheme="minorHAnsi"/>
          <w:sz w:val="22"/>
          <w:szCs w:val="22"/>
        </w:rPr>
        <w:t>Overview</w:t>
      </w:r>
    </w:p>
    <w:p w:rsidR="00D61360" w:rsidRPr="00D61360" w:rsidRDefault="00496DE4" w:rsidP="00BB5641">
      <w:pPr>
        <w:pStyle w:val="ListParagraph"/>
        <w:numPr>
          <w:ilvl w:val="1"/>
          <w:numId w:val="17"/>
        </w:numPr>
        <w:ind w:left="567" w:hanging="567"/>
        <w:jc w:val="both"/>
        <w:rPr>
          <w:rFonts w:asciiTheme="minorHAnsi" w:hAnsiTheme="minorHAnsi"/>
          <w:sz w:val="22"/>
          <w:szCs w:val="22"/>
        </w:rPr>
      </w:pPr>
      <w:r>
        <w:rPr>
          <w:rFonts w:asciiTheme="minorHAnsi" w:hAnsiTheme="minorHAnsi"/>
          <w:sz w:val="22"/>
          <w:szCs w:val="22"/>
        </w:rPr>
        <w:t>Mechanisms for Academic Governance</w:t>
      </w:r>
    </w:p>
    <w:p w:rsidR="00D61360" w:rsidRPr="00D61360" w:rsidRDefault="00D61360" w:rsidP="00D61360">
      <w:pPr>
        <w:spacing w:after="0" w:line="240" w:lineRule="auto"/>
        <w:ind w:left="567" w:hanging="567"/>
        <w:jc w:val="both"/>
        <w:rPr>
          <w:b/>
        </w:rPr>
      </w:pPr>
    </w:p>
    <w:p w:rsidR="00D61360" w:rsidRDefault="00496DE4" w:rsidP="00BB5641">
      <w:pPr>
        <w:pStyle w:val="ListParagraph"/>
        <w:numPr>
          <w:ilvl w:val="0"/>
          <w:numId w:val="17"/>
        </w:numPr>
        <w:ind w:left="567" w:hanging="567"/>
        <w:jc w:val="both"/>
        <w:rPr>
          <w:rFonts w:asciiTheme="minorHAnsi" w:hAnsiTheme="minorHAnsi"/>
          <w:b/>
          <w:sz w:val="22"/>
          <w:szCs w:val="22"/>
        </w:rPr>
      </w:pPr>
      <w:r>
        <w:rPr>
          <w:rFonts w:asciiTheme="minorHAnsi" w:hAnsiTheme="minorHAnsi"/>
          <w:b/>
          <w:sz w:val="22"/>
          <w:szCs w:val="22"/>
        </w:rPr>
        <w:t>Navitas Quality Assurance</w:t>
      </w:r>
    </w:p>
    <w:p w:rsidR="00D61360" w:rsidRDefault="00496DE4" w:rsidP="00BB5641">
      <w:pPr>
        <w:pStyle w:val="ListParagraph"/>
        <w:numPr>
          <w:ilvl w:val="1"/>
          <w:numId w:val="17"/>
        </w:numPr>
        <w:ind w:left="567" w:hanging="567"/>
        <w:jc w:val="both"/>
        <w:rPr>
          <w:rFonts w:asciiTheme="minorHAnsi" w:hAnsiTheme="minorHAnsi"/>
          <w:sz w:val="22"/>
          <w:szCs w:val="22"/>
        </w:rPr>
      </w:pPr>
      <w:r>
        <w:rPr>
          <w:rFonts w:asciiTheme="minorHAnsi" w:hAnsiTheme="minorHAnsi"/>
          <w:sz w:val="22"/>
          <w:szCs w:val="22"/>
        </w:rPr>
        <w:t>Key Bodies and their Roles</w:t>
      </w:r>
    </w:p>
    <w:p w:rsidR="00496DE4" w:rsidRDefault="003018EA" w:rsidP="00496DE4">
      <w:pPr>
        <w:pStyle w:val="ListParagraph"/>
        <w:numPr>
          <w:ilvl w:val="2"/>
          <w:numId w:val="17"/>
        </w:numPr>
        <w:ind w:left="851" w:hanging="284"/>
        <w:jc w:val="both"/>
        <w:rPr>
          <w:rFonts w:asciiTheme="minorHAnsi" w:hAnsiTheme="minorHAnsi"/>
          <w:sz w:val="22"/>
          <w:szCs w:val="22"/>
        </w:rPr>
      </w:pPr>
      <w:r>
        <w:rPr>
          <w:rFonts w:asciiTheme="minorHAnsi" w:hAnsiTheme="minorHAnsi"/>
          <w:sz w:val="22"/>
          <w:szCs w:val="22"/>
        </w:rPr>
        <w:t xml:space="preserve">Navitas </w:t>
      </w:r>
      <w:r w:rsidR="009731DE">
        <w:rPr>
          <w:rFonts w:asciiTheme="minorHAnsi" w:hAnsiTheme="minorHAnsi"/>
          <w:sz w:val="22"/>
          <w:szCs w:val="22"/>
        </w:rPr>
        <w:t>Executive Leadership Team</w:t>
      </w:r>
    </w:p>
    <w:p w:rsidR="00E35FFB" w:rsidRDefault="009731DE" w:rsidP="00496DE4">
      <w:pPr>
        <w:pStyle w:val="ListParagraph"/>
        <w:numPr>
          <w:ilvl w:val="2"/>
          <w:numId w:val="17"/>
        </w:numPr>
        <w:ind w:left="851" w:hanging="284"/>
        <w:jc w:val="both"/>
        <w:rPr>
          <w:rFonts w:asciiTheme="minorHAnsi" w:hAnsiTheme="minorHAnsi"/>
          <w:sz w:val="22"/>
          <w:szCs w:val="22"/>
        </w:rPr>
      </w:pPr>
      <w:r>
        <w:rPr>
          <w:rFonts w:asciiTheme="minorHAnsi" w:hAnsiTheme="minorHAnsi"/>
          <w:sz w:val="22"/>
          <w:szCs w:val="22"/>
        </w:rPr>
        <w:t>Navitas Operational Leadership Team</w:t>
      </w:r>
    </w:p>
    <w:p w:rsidR="00496DE4" w:rsidRDefault="00496DE4" w:rsidP="00496DE4">
      <w:pPr>
        <w:pStyle w:val="ListParagraph"/>
        <w:numPr>
          <w:ilvl w:val="2"/>
          <w:numId w:val="17"/>
        </w:numPr>
        <w:ind w:left="851" w:hanging="284"/>
        <w:jc w:val="both"/>
        <w:rPr>
          <w:rFonts w:asciiTheme="minorHAnsi" w:hAnsiTheme="minorHAnsi"/>
          <w:sz w:val="22"/>
          <w:szCs w:val="22"/>
        </w:rPr>
      </w:pPr>
      <w:r>
        <w:rPr>
          <w:rFonts w:asciiTheme="minorHAnsi" w:hAnsiTheme="minorHAnsi"/>
          <w:sz w:val="22"/>
          <w:szCs w:val="22"/>
        </w:rPr>
        <w:t>Navitas Learning and Teaching Committee</w:t>
      </w:r>
    </w:p>
    <w:p w:rsidR="00496DE4" w:rsidRDefault="00496DE4" w:rsidP="00496DE4">
      <w:pPr>
        <w:pStyle w:val="ListParagraph"/>
        <w:numPr>
          <w:ilvl w:val="2"/>
          <w:numId w:val="17"/>
        </w:numPr>
        <w:ind w:left="851" w:hanging="284"/>
        <w:jc w:val="both"/>
        <w:rPr>
          <w:rFonts w:asciiTheme="minorHAnsi" w:hAnsiTheme="minorHAnsi"/>
          <w:sz w:val="22"/>
          <w:szCs w:val="22"/>
        </w:rPr>
      </w:pPr>
      <w:r>
        <w:rPr>
          <w:rFonts w:asciiTheme="minorHAnsi" w:hAnsiTheme="minorHAnsi"/>
          <w:sz w:val="22"/>
          <w:szCs w:val="22"/>
        </w:rPr>
        <w:t>Navitas Learning and Teaching Forum</w:t>
      </w:r>
    </w:p>
    <w:p w:rsidR="00496DE4" w:rsidRPr="00D61360" w:rsidRDefault="00496DE4" w:rsidP="00496DE4">
      <w:pPr>
        <w:pStyle w:val="ListParagraph"/>
        <w:numPr>
          <w:ilvl w:val="2"/>
          <w:numId w:val="17"/>
        </w:numPr>
        <w:ind w:left="851" w:hanging="284"/>
        <w:jc w:val="both"/>
        <w:rPr>
          <w:rFonts w:asciiTheme="minorHAnsi" w:hAnsiTheme="minorHAnsi"/>
          <w:sz w:val="22"/>
          <w:szCs w:val="22"/>
        </w:rPr>
      </w:pPr>
      <w:r>
        <w:rPr>
          <w:rFonts w:asciiTheme="minorHAnsi" w:hAnsiTheme="minorHAnsi"/>
          <w:sz w:val="22"/>
          <w:szCs w:val="22"/>
        </w:rPr>
        <w:t>Quality and Standards Office</w:t>
      </w:r>
    </w:p>
    <w:p w:rsidR="00D61360" w:rsidRDefault="00496DE4" w:rsidP="00BB5641">
      <w:pPr>
        <w:pStyle w:val="ListParagraph"/>
        <w:numPr>
          <w:ilvl w:val="1"/>
          <w:numId w:val="17"/>
        </w:numPr>
        <w:ind w:left="567" w:hanging="567"/>
        <w:jc w:val="both"/>
        <w:rPr>
          <w:rFonts w:asciiTheme="minorHAnsi" w:hAnsiTheme="minorHAnsi"/>
          <w:sz w:val="22"/>
          <w:szCs w:val="22"/>
        </w:rPr>
      </w:pPr>
      <w:r>
        <w:rPr>
          <w:rFonts w:asciiTheme="minorHAnsi" w:hAnsiTheme="minorHAnsi"/>
          <w:sz w:val="22"/>
          <w:szCs w:val="22"/>
        </w:rPr>
        <w:t>Learning and Teaching Framework</w:t>
      </w:r>
    </w:p>
    <w:p w:rsidR="00496DE4" w:rsidRDefault="00496DE4" w:rsidP="00496DE4">
      <w:pPr>
        <w:pStyle w:val="ListParagraph"/>
        <w:numPr>
          <w:ilvl w:val="2"/>
          <w:numId w:val="17"/>
        </w:numPr>
        <w:ind w:left="851" w:hanging="284"/>
        <w:jc w:val="both"/>
        <w:rPr>
          <w:rFonts w:asciiTheme="minorHAnsi" w:hAnsiTheme="minorHAnsi"/>
          <w:sz w:val="22"/>
          <w:szCs w:val="22"/>
        </w:rPr>
      </w:pPr>
      <w:r>
        <w:rPr>
          <w:rFonts w:asciiTheme="minorHAnsi" w:hAnsiTheme="minorHAnsi"/>
          <w:sz w:val="22"/>
          <w:szCs w:val="22"/>
        </w:rPr>
        <w:t>Learning and Teaching Strategy</w:t>
      </w:r>
    </w:p>
    <w:p w:rsidR="00496DE4" w:rsidRPr="00D61360" w:rsidRDefault="00496DE4" w:rsidP="00496DE4">
      <w:pPr>
        <w:pStyle w:val="ListParagraph"/>
        <w:numPr>
          <w:ilvl w:val="2"/>
          <w:numId w:val="17"/>
        </w:numPr>
        <w:ind w:left="851" w:hanging="284"/>
        <w:jc w:val="both"/>
        <w:rPr>
          <w:rFonts w:asciiTheme="minorHAnsi" w:hAnsiTheme="minorHAnsi"/>
          <w:sz w:val="22"/>
          <w:szCs w:val="22"/>
        </w:rPr>
      </w:pPr>
      <w:r>
        <w:rPr>
          <w:rFonts w:asciiTheme="minorHAnsi" w:hAnsiTheme="minorHAnsi"/>
          <w:sz w:val="22"/>
          <w:szCs w:val="22"/>
        </w:rPr>
        <w:t>Staff Development and Teaching Observation</w:t>
      </w:r>
    </w:p>
    <w:p w:rsidR="00D61360" w:rsidRPr="00D61360" w:rsidRDefault="00D61360" w:rsidP="00D61360">
      <w:pPr>
        <w:spacing w:after="0" w:line="240" w:lineRule="auto"/>
        <w:ind w:left="567" w:hanging="567"/>
        <w:jc w:val="both"/>
      </w:pPr>
    </w:p>
    <w:p w:rsidR="00D61360" w:rsidRDefault="00D61360" w:rsidP="00BB5641">
      <w:pPr>
        <w:pStyle w:val="ListParagraph"/>
        <w:numPr>
          <w:ilvl w:val="0"/>
          <w:numId w:val="17"/>
        </w:numPr>
        <w:ind w:left="567" w:hanging="567"/>
        <w:jc w:val="both"/>
        <w:rPr>
          <w:rFonts w:asciiTheme="minorHAnsi" w:hAnsiTheme="minorHAnsi"/>
          <w:b/>
          <w:sz w:val="22"/>
          <w:szCs w:val="22"/>
        </w:rPr>
      </w:pPr>
      <w:r w:rsidRPr="00D61360">
        <w:rPr>
          <w:rFonts w:asciiTheme="minorHAnsi" w:hAnsiTheme="minorHAnsi"/>
          <w:b/>
          <w:sz w:val="22"/>
          <w:szCs w:val="22"/>
        </w:rPr>
        <w:t xml:space="preserve">College </w:t>
      </w:r>
      <w:r w:rsidR="00496DE4">
        <w:rPr>
          <w:rFonts w:asciiTheme="minorHAnsi" w:hAnsiTheme="minorHAnsi"/>
          <w:b/>
          <w:sz w:val="22"/>
          <w:szCs w:val="22"/>
        </w:rPr>
        <w:t>Quality Assurance</w:t>
      </w:r>
    </w:p>
    <w:p w:rsidR="00D61360" w:rsidRDefault="00496DE4" w:rsidP="00BB5641">
      <w:pPr>
        <w:pStyle w:val="ListParagraph"/>
        <w:numPr>
          <w:ilvl w:val="1"/>
          <w:numId w:val="17"/>
        </w:numPr>
        <w:ind w:left="567" w:hanging="567"/>
        <w:jc w:val="both"/>
        <w:rPr>
          <w:rFonts w:asciiTheme="minorHAnsi" w:hAnsiTheme="minorHAnsi"/>
          <w:sz w:val="22"/>
          <w:szCs w:val="22"/>
        </w:rPr>
      </w:pPr>
      <w:r>
        <w:rPr>
          <w:rFonts w:asciiTheme="minorHAnsi" w:hAnsiTheme="minorHAnsi"/>
          <w:sz w:val="22"/>
          <w:szCs w:val="22"/>
        </w:rPr>
        <w:t>Key Bodies and their Roles</w:t>
      </w:r>
    </w:p>
    <w:p w:rsidR="00496DE4" w:rsidRDefault="00496DE4" w:rsidP="00496DE4">
      <w:pPr>
        <w:pStyle w:val="ListParagraph"/>
        <w:numPr>
          <w:ilvl w:val="2"/>
          <w:numId w:val="17"/>
        </w:numPr>
        <w:ind w:left="851" w:hanging="284"/>
        <w:jc w:val="both"/>
        <w:rPr>
          <w:rFonts w:asciiTheme="minorHAnsi" w:hAnsiTheme="minorHAnsi"/>
          <w:sz w:val="22"/>
          <w:szCs w:val="22"/>
        </w:rPr>
      </w:pPr>
      <w:r>
        <w:rPr>
          <w:rFonts w:asciiTheme="minorHAnsi" w:hAnsiTheme="minorHAnsi"/>
          <w:sz w:val="22"/>
          <w:szCs w:val="22"/>
        </w:rPr>
        <w:t>College Senior Management Team</w:t>
      </w:r>
    </w:p>
    <w:p w:rsidR="00496DE4" w:rsidRDefault="00496DE4" w:rsidP="00496DE4">
      <w:pPr>
        <w:pStyle w:val="ListParagraph"/>
        <w:numPr>
          <w:ilvl w:val="2"/>
          <w:numId w:val="17"/>
        </w:numPr>
        <w:ind w:left="851" w:hanging="284"/>
        <w:jc w:val="both"/>
        <w:rPr>
          <w:rFonts w:asciiTheme="minorHAnsi" w:hAnsiTheme="minorHAnsi"/>
          <w:sz w:val="22"/>
          <w:szCs w:val="22"/>
        </w:rPr>
      </w:pPr>
      <w:r>
        <w:rPr>
          <w:rFonts w:asciiTheme="minorHAnsi" w:hAnsiTheme="minorHAnsi"/>
          <w:sz w:val="22"/>
          <w:szCs w:val="22"/>
        </w:rPr>
        <w:t>College Learning and Teaching Board</w:t>
      </w:r>
    </w:p>
    <w:p w:rsidR="00496DE4" w:rsidRDefault="00496DE4" w:rsidP="00496DE4">
      <w:pPr>
        <w:pStyle w:val="ListParagraph"/>
        <w:numPr>
          <w:ilvl w:val="2"/>
          <w:numId w:val="17"/>
        </w:numPr>
        <w:ind w:left="851" w:hanging="284"/>
        <w:jc w:val="both"/>
        <w:rPr>
          <w:rFonts w:asciiTheme="minorHAnsi" w:hAnsiTheme="minorHAnsi"/>
          <w:sz w:val="22"/>
          <w:szCs w:val="22"/>
        </w:rPr>
      </w:pPr>
      <w:r>
        <w:rPr>
          <w:rFonts w:asciiTheme="minorHAnsi" w:hAnsiTheme="minorHAnsi"/>
          <w:sz w:val="22"/>
          <w:szCs w:val="22"/>
        </w:rPr>
        <w:t>Student Forum</w:t>
      </w:r>
    </w:p>
    <w:p w:rsidR="00496DE4" w:rsidRDefault="00496DE4" w:rsidP="00496DE4">
      <w:pPr>
        <w:pStyle w:val="ListParagraph"/>
        <w:numPr>
          <w:ilvl w:val="2"/>
          <w:numId w:val="17"/>
        </w:numPr>
        <w:ind w:left="851" w:hanging="284"/>
        <w:jc w:val="both"/>
        <w:rPr>
          <w:rFonts w:asciiTheme="minorHAnsi" w:hAnsiTheme="minorHAnsi"/>
          <w:sz w:val="22"/>
          <w:szCs w:val="22"/>
        </w:rPr>
      </w:pPr>
      <w:r>
        <w:rPr>
          <w:rFonts w:asciiTheme="minorHAnsi" w:hAnsiTheme="minorHAnsi"/>
          <w:sz w:val="22"/>
          <w:szCs w:val="22"/>
        </w:rPr>
        <w:t>Academic Support Services</w:t>
      </w:r>
    </w:p>
    <w:p w:rsidR="00D61360" w:rsidRDefault="00496DE4" w:rsidP="00BB5641">
      <w:pPr>
        <w:pStyle w:val="ListParagraph"/>
        <w:numPr>
          <w:ilvl w:val="1"/>
          <w:numId w:val="17"/>
        </w:numPr>
        <w:ind w:left="567" w:hanging="567"/>
        <w:jc w:val="both"/>
        <w:rPr>
          <w:rFonts w:asciiTheme="minorHAnsi" w:hAnsiTheme="minorHAnsi"/>
          <w:sz w:val="22"/>
          <w:szCs w:val="22"/>
        </w:rPr>
      </w:pPr>
      <w:r>
        <w:rPr>
          <w:rFonts w:asciiTheme="minorHAnsi" w:hAnsiTheme="minorHAnsi"/>
          <w:sz w:val="22"/>
          <w:szCs w:val="22"/>
        </w:rPr>
        <w:t>Quality Assurance Processes</w:t>
      </w:r>
    </w:p>
    <w:p w:rsidR="00496DE4" w:rsidRPr="00D61360" w:rsidRDefault="00496DE4" w:rsidP="00BB5641">
      <w:pPr>
        <w:pStyle w:val="ListParagraph"/>
        <w:numPr>
          <w:ilvl w:val="1"/>
          <w:numId w:val="17"/>
        </w:numPr>
        <w:ind w:left="567" w:hanging="567"/>
        <w:jc w:val="both"/>
        <w:rPr>
          <w:rFonts w:asciiTheme="minorHAnsi" w:hAnsiTheme="minorHAnsi"/>
          <w:sz w:val="22"/>
          <w:szCs w:val="22"/>
        </w:rPr>
      </w:pPr>
      <w:r>
        <w:rPr>
          <w:rFonts w:asciiTheme="minorHAnsi" w:hAnsiTheme="minorHAnsi"/>
          <w:sz w:val="22"/>
          <w:szCs w:val="22"/>
        </w:rPr>
        <w:t>College Staff Structure</w:t>
      </w:r>
    </w:p>
    <w:p w:rsidR="00D61360" w:rsidRPr="00D61360" w:rsidRDefault="00D61360" w:rsidP="00D61360">
      <w:pPr>
        <w:spacing w:after="0" w:line="240" w:lineRule="auto"/>
        <w:ind w:left="567" w:hanging="567"/>
        <w:jc w:val="both"/>
      </w:pPr>
    </w:p>
    <w:p w:rsidR="00D608EB" w:rsidRDefault="00D608EB" w:rsidP="00BB5641">
      <w:pPr>
        <w:pStyle w:val="ListParagraph"/>
        <w:numPr>
          <w:ilvl w:val="0"/>
          <w:numId w:val="17"/>
        </w:numPr>
        <w:ind w:left="567" w:hanging="567"/>
        <w:jc w:val="both"/>
        <w:rPr>
          <w:rFonts w:asciiTheme="minorHAnsi" w:hAnsiTheme="minorHAnsi"/>
          <w:b/>
          <w:sz w:val="22"/>
          <w:szCs w:val="22"/>
        </w:rPr>
      </w:pPr>
      <w:r>
        <w:rPr>
          <w:rFonts w:asciiTheme="minorHAnsi" w:hAnsiTheme="minorHAnsi"/>
          <w:b/>
          <w:sz w:val="22"/>
          <w:szCs w:val="22"/>
        </w:rPr>
        <w:t>Partnership Quality Assurance</w:t>
      </w:r>
    </w:p>
    <w:p w:rsidR="00394283" w:rsidRDefault="00394283" w:rsidP="00394283">
      <w:pPr>
        <w:pStyle w:val="ListParagraph"/>
        <w:numPr>
          <w:ilvl w:val="1"/>
          <w:numId w:val="17"/>
        </w:numPr>
        <w:ind w:left="567" w:hanging="567"/>
        <w:jc w:val="both"/>
        <w:rPr>
          <w:rFonts w:asciiTheme="minorHAnsi" w:hAnsiTheme="minorHAnsi"/>
          <w:sz w:val="22"/>
          <w:szCs w:val="22"/>
        </w:rPr>
      </w:pPr>
      <w:r>
        <w:rPr>
          <w:rFonts w:asciiTheme="minorHAnsi" w:hAnsiTheme="minorHAnsi"/>
          <w:sz w:val="22"/>
          <w:szCs w:val="22"/>
        </w:rPr>
        <w:t>Key Bodies and their Roles</w:t>
      </w:r>
    </w:p>
    <w:p w:rsidR="00394283" w:rsidRDefault="00394283" w:rsidP="00394283">
      <w:pPr>
        <w:pStyle w:val="ListParagraph"/>
        <w:numPr>
          <w:ilvl w:val="2"/>
          <w:numId w:val="17"/>
        </w:numPr>
        <w:ind w:left="851" w:hanging="284"/>
        <w:jc w:val="both"/>
        <w:rPr>
          <w:rFonts w:asciiTheme="minorHAnsi" w:hAnsiTheme="minorHAnsi"/>
          <w:sz w:val="22"/>
          <w:szCs w:val="22"/>
        </w:rPr>
      </w:pPr>
      <w:r>
        <w:rPr>
          <w:rFonts w:asciiTheme="minorHAnsi" w:hAnsiTheme="minorHAnsi"/>
          <w:sz w:val="22"/>
          <w:szCs w:val="22"/>
        </w:rPr>
        <w:t>Joint Strategic partnership management board</w:t>
      </w:r>
    </w:p>
    <w:p w:rsidR="00E7361F" w:rsidRPr="00D603C7" w:rsidRDefault="00394283" w:rsidP="00D608EB">
      <w:pPr>
        <w:pStyle w:val="ListParagraph"/>
        <w:numPr>
          <w:ilvl w:val="2"/>
          <w:numId w:val="17"/>
        </w:numPr>
        <w:ind w:left="851" w:hanging="284"/>
        <w:jc w:val="both"/>
      </w:pPr>
      <w:r>
        <w:rPr>
          <w:rFonts w:asciiTheme="minorHAnsi" w:hAnsiTheme="minorHAnsi"/>
          <w:sz w:val="22"/>
          <w:szCs w:val="22"/>
        </w:rPr>
        <w:t xml:space="preserve">Academic </w:t>
      </w:r>
      <w:r w:rsidR="00D603C7">
        <w:rPr>
          <w:rFonts w:asciiTheme="minorHAnsi" w:hAnsiTheme="minorHAnsi"/>
          <w:sz w:val="22"/>
          <w:szCs w:val="22"/>
        </w:rPr>
        <w:t>Advisory Committee</w:t>
      </w:r>
    </w:p>
    <w:p w:rsidR="00D603C7" w:rsidRPr="00D603C7" w:rsidRDefault="00D603C7" w:rsidP="00D608EB">
      <w:pPr>
        <w:pStyle w:val="ListParagraph"/>
        <w:numPr>
          <w:ilvl w:val="2"/>
          <w:numId w:val="17"/>
        </w:numPr>
        <w:ind w:left="851" w:hanging="284"/>
        <w:jc w:val="both"/>
      </w:pPr>
      <w:r>
        <w:rPr>
          <w:rFonts w:asciiTheme="minorHAnsi" w:hAnsiTheme="minorHAnsi"/>
          <w:sz w:val="22"/>
          <w:szCs w:val="22"/>
        </w:rPr>
        <w:t>Operational Advisory Committee</w:t>
      </w:r>
    </w:p>
    <w:p w:rsidR="00D603C7" w:rsidRPr="00E7361F" w:rsidRDefault="00D603C7" w:rsidP="00D608EB">
      <w:pPr>
        <w:pStyle w:val="ListParagraph"/>
        <w:numPr>
          <w:ilvl w:val="2"/>
          <w:numId w:val="17"/>
        </w:numPr>
        <w:ind w:left="851" w:hanging="284"/>
        <w:jc w:val="both"/>
      </w:pPr>
      <w:r>
        <w:rPr>
          <w:rFonts w:asciiTheme="minorHAnsi" w:hAnsiTheme="minorHAnsi"/>
          <w:sz w:val="22"/>
          <w:szCs w:val="22"/>
        </w:rPr>
        <w:t>Marketing Planning Advisory Committee</w:t>
      </w:r>
    </w:p>
    <w:p w:rsidR="00D608EB" w:rsidRDefault="00D603C7" w:rsidP="00D603C7">
      <w:pPr>
        <w:pStyle w:val="ListParagraph"/>
        <w:numPr>
          <w:ilvl w:val="1"/>
          <w:numId w:val="17"/>
        </w:numPr>
        <w:ind w:left="567" w:hanging="567"/>
        <w:jc w:val="both"/>
        <w:rPr>
          <w:rFonts w:asciiTheme="minorHAnsi" w:hAnsiTheme="minorHAnsi"/>
          <w:sz w:val="22"/>
          <w:szCs w:val="22"/>
        </w:rPr>
      </w:pPr>
      <w:r>
        <w:rPr>
          <w:rFonts w:asciiTheme="minorHAnsi" w:hAnsiTheme="minorHAnsi"/>
          <w:sz w:val="22"/>
          <w:szCs w:val="22"/>
        </w:rPr>
        <w:t>Reporting Lines</w:t>
      </w:r>
    </w:p>
    <w:p w:rsidR="00D603C7" w:rsidRPr="00D603C7" w:rsidRDefault="00D603C7" w:rsidP="00D603C7">
      <w:pPr>
        <w:spacing w:after="0" w:line="240" w:lineRule="auto"/>
        <w:jc w:val="both"/>
      </w:pPr>
    </w:p>
    <w:p w:rsidR="00D61360" w:rsidRDefault="00D603C7" w:rsidP="00BB5641">
      <w:pPr>
        <w:pStyle w:val="ListParagraph"/>
        <w:numPr>
          <w:ilvl w:val="0"/>
          <w:numId w:val="17"/>
        </w:numPr>
        <w:ind w:left="567" w:hanging="567"/>
        <w:jc w:val="both"/>
        <w:rPr>
          <w:rFonts w:asciiTheme="minorHAnsi" w:hAnsiTheme="minorHAnsi"/>
          <w:b/>
          <w:sz w:val="22"/>
          <w:szCs w:val="22"/>
        </w:rPr>
      </w:pPr>
      <w:r>
        <w:rPr>
          <w:rFonts w:asciiTheme="minorHAnsi" w:hAnsiTheme="minorHAnsi"/>
          <w:b/>
          <w:sz w:val="22"/>
          <w:szCs w:val="22"/>
        </w:rPr>
        <w:t>General Educational Aims</w:t>
      </w:r>
    </w:p>
    <w:p w:rsidR="00D603C7" w:rsidRDefault="00D603C7" w:rsidP="00D603C7">
      <w:pPr>
        <w:pStyle w:val="ListParagraph"/>
        <w:ind w:left="567"/>
        <w:jc w:val="both"/>
        <w:rPr>
          <w:rFonts w:asciiTheme="minorHAnsi" w:hAnsiTheme="minorHAnsi"/>
          <w:b/>
          <w:sz w:val="22"/>
          <w:szCs w:val="22"/>
        </w:rPr>
      </w:pPr>
    </w:p>
    <w:p w:rsidR="00D603C7" w:rsidRDefault="00D603C7" w:rsidP="00BB5641">
      <w:pPr>
        <w:pStyle w:val="ListParagraph"/>
        <w:numPr>
          <w:ilvl w:val="0"/>
          <w:numId w:val="17"/>
        </w:numPr>
        <w:ind w:left="567" w:hanging="567"/>
        <w:jc w:val="both"/>
        <w:rPr>
          <w:rFonts w:asciiTheme="minorHAnsi" w:hAnsiTheme="minorHAnsi"/>
          <w:b/>
          <w:sz w:val="22"/>
          <w:szCs w:val="22"/>
        </w:rPr>
      </w:pPr>
      <w:r>
        <w:rPr>
          <w:rFonts w:asciiTheme="minorHAnsi" w:hAnsiTheme="minorHAnsi"/>
          <w:b/>
          <w:sz w:val="22"/>
          <w:szCs w:val="22"/>
        </w:rPr>
        <w:t>Programme Structures</w:t>
      </w:r>
    </w:p>
    <w:p w:rsidR="00D603C7" w:rsidRDefault="00D603C7" w:rsidP="00D603C7">
      <w:pPr>
        <w:pStyle w:val="ListParagraph"/>
        <w:numPr>
          <w:ilvl w:val="1"/>
          <w:numId w:val="17"/>
        </w:numPr>
        <w:ind w:left="567" w:hanging="567"/>
        <w:jc w:val="both"/>
        <w:rPr>
          <w:rFonts w:asciiTheme="minorHAnsi" w:hAnsiTheme="minorHAnsi"/>
          <w:sz w:val="22"/>
          <w:szCs w:val="22"/>
        </w:rPr>
      </w:pPr>
      <w:r>
        <w:rPr>
          <w:rFonts w:asciiTheme="minorHAnsi" w:hAnsiTheme="minorHAnsi"/>
          <w:sz w:val="22"/>
          <w:szCs w:val="22"/>
        </w:rPr>
        <w:t>Pathways</w:t>
      </w:r>
    </w:p>
    <w:p w:rsidR="00D603C7" w:rsidRDefault="00D603C7" w:rsidP="00D603C7">
      <w:pPr>
        <w:pStyle w:val="ListParagraph"/>
        <w:numPr>
          <w:ilvl w:val="1"/>
          <w:numId w:val="17"/>
        </w:numPr>
        <w:ind w:left="567" w:hanging="567"/>
        <w:jc w:val="both"/>
        <w:rPr>
          <w:rFonts w:asciiTheme="minorHAnsi" w:hAnsiTheme="minorHAnsi"/>
          <w:sz w:val="22"/>
          <w:szCs w:val="22"/>
        </w:rPr>
      </w:pPr>
      <w:r>
        <w:rPr>
          <w:rFonts w:asciiTheme="minorHAnsi" w:hAnsiTheme="minorHAnsi"/>
          <w:sz w:val="22"/>
          <w:szCs w:val="22"/>
        </w:rPr>
        <w:t>Stages</w:t>
      </w:r>
    </w:p>
    <w:p w:rsidR="00D603C7" w:rsidRDefault="00D603C7" w:rsidP="00D603C7">
      <w:pPr>
        <w:pStyle w:val="ListParagraph"/>
        <w:numPr>
          <w:ilvl w:val="1"/>
          <w:numId w:val="17"/>
        </w:numPr>
        <w:ind w:left="567" w:hanging="567"/>
        <w:jc w:val="both"/>
        <w:rPr>
          <w:rFonts w:asciiTheme="minorHAnsi" w:hAnsiTheme="minorHAnsi"/>
          <w:sz w:val="22"/>
          <w:szCs w:val="22"/>
        </w:rPr>
      </w:pPr>
      <w:r>
        <w:rPr>
          <w:rFonts w:asciiTheme="minorHAnsi" w:hAnsiTheme="minorHAnsi"/>
          <w:sz w:val="22"/>
          <w:szCs w:val="22"/>
        </w:rPr>
        <w:lastRenderedPageBreak/>
        <w:t>Streams</w:t>
      </w:r>
    </w:p>
    <w:p w:rsidR="00D603C7" w:rsidRPr="00D603C7" w:rsidRDefault="00D603C7" w:rsidP="00D603C7">
      <w:pPr>
        <w:pStyle w:val="ListParagraph"/>
        <w:numPr>
          <w:ilvl w:val="1"/>
          <w:numId w:val="17"/>
        </w:numPr>
        <w:ind w:left="567" w:hanging="567"/>
        <w:jc w:val="both"/>
        <w:rPr>
          <w:rFonts w:asciiTheme="minorHAnsi" w:hAnsiTheme="minorHAnsi"/>
          <w:sz w:val="22"/>
          <w:szCs w:val="22"/>
        </w:rPr>
      </w:pPr>
      <w:r>
        <w:rPr>
          <w:rFonts w:asciiTheme="minorHAnsi" w:hAnsiTheme="minorHAnsi"/>
          <w:sz w:val="22"/>
          <w:szCs w:val="22"/>
        </w:rPr>
        <w:t>Modules</w:t>
      </w:r>
    </w:p>
    <w:p w:rsidR="00D61360" w:rsidRPr="00D61360" w:rsidRDefault="00D61360" w:rsidP="00D61360">
      <w:pPr>
        <w:spacing w:after="0" w:line="240" w:lineRule="auto"/>
        <w:ind w:left="567" w:hanging="567"/>
        <w:jc w:val="both"/>
        <w:rPr>
          <w:b/>
        </w:rPr>
      </w:pPr>
    </w:p>
    <w:p w:rsidR="00D61360" w:rsidRDefault="00D603C7" w:rsidP="00BB5641">
      <w:pPr>
        <w:pStyle w:val="ListParagraph"/>
        <w:numPr>
          <w:ilvl w:val="0"/>
          <w:numId w:val="17"/>
        </w:numPr>
        <w:ind w:left="567" w:hanging="567"/>
        <w:jc w:val="both"/>
        <w:rPr>
          <w:rFonts w:asciiTheme="minorHAnsi" w:hAnsiTheme="minorHAnsi"/>
          <w:b/>
          <w:sz w:val="22"/>
          <w:szCs w:val="22"/>
        </w:rPr>
      </w:pPr>
      <w:r>
        <w:rPr>
          <w:rFonts w:asciiTheme="minorHAnsi" w:hAnsiTheme="minorHAnsi"/>
          <w:b/>
          <w:sz w:val="22"/>
          <w:szCs w:val="22"/>
        </w:rPr>
        <w:t>Teaching</w:t>
      </w:r>
      <w:r w:rsidR="00D61360" w:rsidRPr="00D61360">
        <w:rPr>
          <w:rFonts w:asciiTheme="minorHAnsi" w:hAnsiTheme="minorHAnsi"/>
          <w:b/>
          <w:sz w:val="22"/>
          <w:szCs w:val="22"/>
        </w:rPr>
        <w:t xml:space="preserve"> Models</w:t>
      </w:r>
      <w:r>
        <w:rPr>
          <w:rFonts w:asciiTheme="minorHAnsi" w:hAnsiTheme="minorHAnsi"/>
          <w:b/>
          <w:sz w:val="22"/>
          <w:szCs w:val="22"/>
        </w:rPr>
        <w:t xml:space="preserve"> and Class Sizes</w:t>
      </w:r>
    </w:p>
    <w:p w:rsidR="00D603C7" w:rsidRPr="00E46B8C" w:rsidRDefault="00D603C7" w:rsidP="00D603C7">
      <w:pPr>
        <w:pStyle w:val="ListParagraph"/>
        <w:numPr>
          <w:ilvl w:val="1"/>
          <w:numId w:val="17"/>
        </w:numPr>
        <w:ind w:left="567" w:hanging="567"/>
        <w:jc w:val="both"/>
        <w:rPr>
          <w:rFonts w:asciiTheme="minorHAnsi" w:hAnsiTheme="minorHAnsi"/>
          <w:sz w:val="22"/>
          <w:szCs w:val="22"/>
        </w:rPr>
      </w:pPr>
      <w:r w:rsidRPr="00E46B8C">
        <w:rPr>
          <w:rFonts w:asciiTheme="minorHAnsi" w:hAnsiTheme="minorHAnsi"/>
          <w:sz w:val="22"/>
          <w:szCs w:val="22"/>
        </w:rPr>
        <w:t>Delivery Models</w:t>
      </w:r>
    </w:p>
    <w:p w:rsidR="00D603C7" w:rsidRPr="00E46B8C" w:rsidRDefault="00D603C7" w:rsidP="00D603C7">
      <w:pPr>
        <w:pStyle w:val="ListParagraph"/>
        <w:numPr>
          <w:ilvl w:val="1"/>
          <w:numId w:val="17"/>
        </w:numPr>
        <w:ind w:left="567" w:hanging="567"/>
        <w:jc w:val="both"/>
        <w:rPr>
          <w:rFonts w:asciiTheme="minorHAnsi" w:hAnsiTheme="minorHAnsi"/>
          <w:sz w:val="22"/>
          <w:szCs w:val="22"/>
        </w:rPr>
      </w:pPr>
      <w:r w:rsidRPr="00E46B8C">
        <w:rPr>
          <w:rFonts w:asciiTheme="minorHAnsi" w:hAnsiTheme="minorHAnsi"/>
          <w:sz w:val="22"/>
          <w:szCs w:val="22"/>
        </w:rPr>
        <w:t>The Standard Delivery Model</w:t>
      </w:r>
    </w:p>
    <w:p w:rsidR="00D603C7" w:rsidRPr="00E46B8C" w:rsidRDefault="00D603C7" w:rsidP="00D603C7">
      <w:pPr>
        <w:pStyle w:val="ListParagraph"/>
        <w:numPr>
          <w:ilvl w:val="1"/>
          <w:numId w:val="17"/>
        </w:numPr>
        <w:ind w:left="567" w:hanging="567"/>
        <w:jc w:val="both"/>
        <w:rPr>
          <w:rFonts w:asciiTheme="minorHAnsi" w:hAnsiTheme="minorHAnsi"/>
          <w:sz w:val="22"/>
          <w:szCs w:val="22"/>
        </w:rPr>
      </w:pPr>
      <w:r w:rsidRPr="00E46B8C">
        <w:rPr>
          <w:rFonts w:asciiTheme="minorHAnsi" w:hAnsiTheme="minorHAnsi"/>
          <w:sz w:val="22"/>
          <w:szCs w:val="22"/>
        </w:rPr>
        <w:t>The Integrated Delivery Model</w:t>
      </w:r>
    </w:p>
    <w:p w:rsidR="00D603C7" w:rsidRPr="00E46B8C" w:rsidRDefault="00D603C7" w:rsidP="00D603C7">
      <w:pPr>
        <w:pStyle w:val="ListParagraph"/>
        <w:numPr>
          <w:ilvl w:val="1"/>
          <w:numId w:val="17"/>
        </w:numPr>
        <w:ind w:left="567" w:hanging="567"/>
        <w:jc w:val="both"/>
        <w:rPr>
          <w:rFonts w:asciiTheme="minorHAnsi" w:hAnsiTheme="minorHAnsi"/>
          <w:sz w:val="22"/>
          <w:szCs w:val="22"/>
        </w:rPr>
      </w:pPr>
      <w:r w:rsidRPr="00E46B8C">
        <w:rPr>
          <w:rFonts w:asciiTheme="minorHAnsi" w:hAnsiTheme="minorHAnsi"/>
          <w:sz w:val="22"/>
          <w:szCs w:val="22"/>
        </w:rPr>
        <w:t>Class Sizes</w:t>
      </w:r>
    </w:p>
    <w:p w:rsidR="00D603C7" w:rsidRPr="00E46B8C" w:rsidRDefault="00D603C7" w:rsidP="00D603C7">
      <w:pPr>
        <w:pStyle w:val="ListParagraph"/>
        <w:numPr>
          <w:ilvl w:val="1"/>
          <w:numId w:val="17"/>
        </w:numPr>
        <w:ind w:left="567" w:hanging="567"/>
        <w:jc w:val="both"/>
        <w:rPr>
          <w:rFonts w:asciiTheme="minorHAnsi" w:hAnsiTheme="minorHAnsi"/>
          <w:sz w:val="22"/>
          <w:szCs w:val="22"/>
        </w:rPr>
      </w:pPr>
      <w:r w:rsidRPr="00E46B8C">
        <w:rPr>
          <w:rFonts w:asciiTheme="minorHAnsi" w:hAnsiTheme="minorHAnsi"/>
          <w:sz w:val="22"/>
          <w:szCs w:val="22"/>
        </w:rPr>
        <w:t>Study Rates</w:t>
      </w:r>
    </w:p>
    <w:p w:rsidR="00D61360" w:rsidRPr="00D61360" w:rsidRDefault="00D61360" w:rsidP="00D61360">
      <w:pPr>
        <w:spacing w:after="0" w:line="240" w:lineRule="auto"/>
        <w:ind w:left="567" w:hanging="567"/>
        <w:jc w:val="both"/>
        <w:rPr>
          <w:b/>
        </w:rPr>
      </w:pPr>
    </w:p>
    <w:p w:rsidR="00D61360" w:rsidRDefault="00D603C7" w:rsidP="00BB5641">
      <w:pPr>
        <w:pStyle w:val="ListParagraph"/>
        <w:numPr>
          <w:ilvl w:val="0"/>
          <w:numId w:val="17"/>
        </w:numPr>
        <w:ind w:left="567" w:hanging="567"/>
        <w:jc w:val="both"/>
        <w:rPr>
          <w:rFonts w:asciiTheme="minorHAnsi" w:hAnsiTheme="minorHAnsi"/>
          <w:b/>
          <w:sz w:val="22"/>
          <w:szCs w:val="22"/>
        </w:rPr>
      </w:pPr>
      <w:r>
        <w:rPr>
          <w:rFonts w:asciiTheme="minorHAnsi" w:hAnsiTheme="minorHAnsi"/>
          <w:b/>
          <w:sz w:val="22"/>
          <w:szCs w:val="22"/>
        </w:rPr>
        <w:t>Programme Design</w:t>
      </w:r>
    </w:p>
    <w:p w:rsidR="00D603C7" w:rsidRPr="00E46B8C" w:rsidRDefault="00E46B8C" w:rsidP="00E46B8C">
      <w:pPr>
        <w:pStyle w:val="ListParagraph"/>
        <w:numPr>
          <w:ilvl w:val="1"/>
          <w:numId w:val="17"/>
        </w:numPr>
        <w:ind w:left="550" w:hanging="550"/>
        <w:jc w:val="both"/>
        <w:rPr>
          <w:rFonts w:asciiTheme="minorHAnsi" w:hAnsiTheme="minorHAnsi"/>
          <w:sz w:val="22"/>
          <w:szCs w:val="22"/>
        </w:rPr>
      </w:pPr>
      <w:r w:rsidRPr="00E46B8C">
        <w:rPr>
          <w:rFonts w:asciiTheme="minorHAnsi" w:hAnsiTheme="minorHAnsi"/>
          <w:sz w:val="22"/>
          <w:szCs w:val="22"/>
        </w:rPr>
        <w:t>Programme Specifications</w:t>
      </w:r>
    </w:p>
    <w:p w:rsidR="00E46B8C" w:rsidRDefault="00E46B8C" w:rsidP="00E46B8C">
      <w:pPr>
        <w:pStyle w:val="ListParagraph"/>
        <w:numPr>
          <w:ilvl w:val="1"/>
          <w:numId w:val="17"/>
        </w:numPr>
        <w:ind w:left="550" w:hanging="550"/>
        <w:jc w:val="both"/>
        <w:rPr>
          <w:rFonts w:asciiTheme="minorHAnsi" w:hAnsiTheme="minorHAnsi"/>
          <w:sz w:val="22"/>
          <w:szCs w:val="22"/>
        </w:rPr>
      </w:pPr>
      <w:r>
        <w:rPr>
          <w:rFonts w:asciiTheme="minorHAnsi" w:hAnsiTheme="minorHAnsi"/>
          <w:sz w:val="22"/>
          <w:szCs w:val="22"/>
        </w:rPr>
        <w:t>Pathway Aims</w:t>
      </w:r>
    </w:p>
    <w:p w:rsidR="00E46B8C" w:rsidRDefault="00E46B8C" w:rsidP="00E46B8C">
      <w:pPr>
        <w:pStyle w:val="ListParagraph"/>
        <w:numPr>
          <w:ilvl w:val="1"/>
          <w:numId w:val="17"/>
        </w:numPr>
        <w:ind w:left="550" w:hanging="550"/>
        <w:jc w:val="both"/>
        <w:rPr>
          <w:rFonts w:asciiTheme="minorHAnsi" w:hAnsiTheme="minorHAnsi"/>
          <w:sz w:val="22"/>
          <w:szCs w:val="22"/>
        </w:rPr>
      </w:pPr>
      <w:r>
        <w:rPr>
          <w:rFonts w:asciiTheme="minorHAnsi" w:hAnsiTheme="minorHAnsi"/>
          <w:sz w:val="22"/>
          <w:szCs w:val="22"/>
        </w:rPr>
        <w:t>External Reference Points</w:t>
      </w:r>
    </w:p>
    <w:p w:rsidR="00E46B8C" w:rsidRDefault="00E46B8C" w:rsidP="00E46B8C">
      <w:pPr>
        <w:pStyle w:val="ListParagraph"/>
        <w:numPr>
          <w:ilvl w:val="1"/>
          <w:numId w:val="17"/>
        </w:numPr>
        <w:ind w:left="550" w:hanging="550"/>
        <w:jc w:val="both"/>
        <w:rPr>
          <w:rFonts w:asciiTheme="minorHAnsi" w:hAnsiTheme="minorHAnsi"/>
          <w:sz w:val="22"/>
          <w:szCs w:val="22"/>
        </w:rPr>
      </w:pPr>
      <w:r>
        <w:rPr>
          <w:rFonts w:asciiTheme="minorHAnsi" w:hAnsiTheme="minorHAnsi"/>
          <w:sz w:val="22"/>
          <w:szCs w:val="22"/>
        </w:rPr>
        <w:t>The Academic Year</w:t>
      </w:r>
    </w:p>
    <w:p w:rsidR="00E46B8C" w:rsidRDefault="00E46B8C" w:rsidP="00E46B8C">
      <w:pPr>
        <w:pStyle w:val="ListParagraph"/>
        <w:numPr>
          <w:ilvl w:val="1"/>
          <w:numId w:val="17"/>
        </w:numPr>
        <w:ind w:left="550" w:hanging="550"/>
        <w:jc w:val="both"/>
        <w:rPr>
          <w:rFonts w:asciiTheme="minorHAnsi" w:hAnsiTheme="minorHAnsi"/>
          <w:sz w:val="22"/>
          <w:szCs w:val="22"/>
        </w:rPr>
      </w:pPr>
      <w:r>
        <w:rPr>
          <w:rFonts w:asciiTheme="minorHAnsi" w:hAnsiTheme="minorHAnsi"/>
          <w:sz w:val="22"/>
          <w:szCs w:val="22"/>
        </w:rPr>
        <w:t>Progression</w:t>
      </w:r>
    </w:p>
    <w:p w:rsidR="00E46B8C" w:rsidRPr="00E46B8C" w:rsidRDefault="00E46B8C" w:rsidP="00E46B8C">
      <w:pPr>
        <w:jc w:val="both"/>
      </w:pPr>
    </w:p>
    <w:p w:rsidR="00D45442" w:rsidRDefault="00D45442" w:rsidP="00D45442">
      <w:pPr>
        <w:jc w:val="both"/>
        <w:rPr>
          <w:b/>
        </w:rPr>
      </w:pPr>
      <w:r>
        <w:rPr>
          <w:b/>
        </w:rPr>
        <w:t>10</w:t>
      </w:r>
      <w:r>
        <w:rPr>
          <w:b/>
        </w:rPr>
        <w:tab/>
        <w:t>Academic KPIs</w:t>
      </w:r>
    </w:p>
    <w:p w:rsidR="00480434" w:rsidRDefault="00480434" w:rsidP="00D45442">
      <w:pPr>
        <w:jc w:val="both"/>
        <w:rPr>
          <w:b/>
        </w:rPr>
      </w:pPr>
      <w:r>
        <w:rPr>
          <w:b/>
        </w:rPr>
        <w:t>11</w:t>
      </w:r>
      <w:r>
        <w:rPr>
          <w:b/>
        </w:rPr>
        <w:tab/>
        <w:t>List of Navitas Policies and Procedures</w:t>
      </w:r>
    </w:p>
    <w:p w:rsidR="00480434" w:rsidRPr="00D45442" w:rsidRDefault="00480434" w:rsidP="00D45442">
      <w:pPr>
        <w:jc w:val="both"/>
        <w:rPr>
          <w:b/>
        </w:rPr>
      </w:pPr>
      <w:r>
        <w:rPr>
          <w:b/>
        </w:rPr>
        <w:t xml:space="preserve">12 </w:t>
      </w:r>
      <w:r>
        <w:rPr>
          <w:b/>
        </w:rPr>
        <w:tab/>
        <w:t>List of Forms</w:t>
      </w:r>
    </w:p>
    <w:p w:rsidR="00CC0409" w:rsidRDefault="00CC0409" w:rsidP="00A3510B">
      <w:pPr>
        <w:spacing w:after="0" w:line="240" w:lineRule="auto"/>
        <w:jc w:val="both"/>
      </w:pPr>
    </w:p>
    <w:p w:rsidR="00D61360" w:rsidRDefault="00D61360">
      <w:pPr>
        <w:rPr>
          <w:b/>
        </w:rPr>
      </w:pPr>
      <w:r>
        <w:rPr>
          <w:b/>
        </w:rPr>
        <w:br w:type="page"/>
      </w:r>
    </w:p>
    <w:p w:rsidR="00F13BE4" w:rsidRDefault="00F13BE4">
      <w:pPr>
        <w:rPr>
          <w:b/>
        </w:rPr>
      </w:pPr>
      <w:r w:rsidRPr="00F13BE4">
        <w:rPr>
          <w:b/>
        </w:rPr>
        <w:lastRenderedPageBreak/>
        <w:t>Abbreviations</w:t>
      </w:r>
      <w:r w:rsidR="00FD3BE8" w:rsidRPr="00FD3BE8">
        <w:rPr>
          <w:b/>
        </w:rPr>
        <w:t xml:space="preserve"> </w:t>
      </w:r>
      <w:r w:rsidR="00FD3BE8">
        <w:rPr>
          <w:b/>
        </w:rPr>
        <w:t xml:space="preserve">and Glossary </w:t>
      </w:r>
    </w:p>
    <w:p w:rsidR="00F13BE4" w:rsidRDefault="00F13BE4" w:rsidP="00F13BE4">
      <w:pPr>
        <w:tabs>
          <w:tab w:val="left" w:pos="1418"/>
        </w:tabs>
        <w:spacing w:after="0" w:line="240" w:lineRule="auto"/>
      </w:pPr>
      <w:r>
        <w:t>AAC</w:t>
      </w:r>
      <w:r>
        <w:tab/>
        <w:t>Academic Advisory Committee</w:t>
      </w:r>
    </w:p>
    <w:p w:rsidR="00DF3B5D" w:rsidRDefault="00DF3B5D" w:rsidP="001233DD">
      <w:pPr>
        <w:tabs>
          <w:tab w:val="left" w:pos="1418"/>
        </w:tabs>
        <w:spacing w:after="0" w:line="240" w:lineRule="auto"/>
      </w:pPr>
      <w:r>
        <w:t>CAS</w:t>
      </w:r>
      <w:r>
        <w:tab/>
        <w:t>Confirmation of Acceptance for Studies</w:t>
      </w:r>
    </w:p>
    <w:p w:rsidR="00B4796F" w:rsidRDefault="00B4796F" w:rsidP="001233DD">
      <w:pPr>
        <w:tabs>
          <w:tab w:val="left" w:pos="1418"/>
        </w:tabs>
        <w:spacing w:after="0" w:line="240" w:lineRule="auto"/>
      </w:pPr>
      <w:r>
        <w:t>CD/P</w:t>
      </w:r>
      <w:r>
        <w:tab/>
        <w:t>College Director/Principal</w:t>
      </w:r>
      <w:r>
        <w:tab/>
      </w:r>
    </w:p>
    <w:p w:rsidR="009731DE" w:rsidRDefault="009731DE" w:rsidP="001233DD">
      <w:pPr>
        <w:tabs>
          <w:tab w:val="left" w:pos="1418"/>
        </w:tabs>
        <w:spacing w:after="0" w:line="240" w:lineRule="auto"/>
      </w:pPr>
      <w:r>
        <w:t>CEO</w:t>
      </w:r>
      <w:r>
        <w:tab/>
        <w:t>Chief Executive Officer UPE</w:t>
      </w:r>
    </w:p>
    <w:p w:rsidR="00A2369F" w:rsidRDefault="00A2369F" w:rsidP="001233DD">
      <w:pPr>
        <w:tabs>
          <w:tab w:val="left" w:pos="1418"/>
        </w:tabs>
        <w:spacing w:after="0" w:line="240" w:lineRule="auto"/>
      </w:pPr>
      <w:r>
        <w:t>CE</w:t>
      </w:r>
      <w:r w:rsidR="00E01F2E">
        <w:t>T</w:t>
      </w:r>
      <w:r>
        <w:tab/>
        <w:t xml:space="preserve">College Enhancement </w:t>
      </w:r>
      <w:r w:rsidR="00E01F2E">
        <w:t>Team</w:t>
      </w:r>
    </w:p>
    <w:p w:rsidR="005F4AA0" w:rsidRDefault="005F4AA0" w:rsidP="001233DD">
      <w:pPr>
        <w:tabs>
          <w:tab w:val="left" w:pos="1418"/>
        </w:tabs>
        <w:spacing w:after="0" w:line="240" w:lineRule="auto"/>
      </w:pPr>
      <w:r>
        <w:t>CEFR</w:t>
      </w:r>
      <w:r>
        <w:tab/>
        <w:t xml:space="preserve">Common European Framework </w:t>
      </w:r>
      <w:r w:rsidR="00E46B8C">
        <w:t>of Reference</w:t>
      </w:r>
    </w:p>
    <w:p w:rsidR="001E7126" w:rsidRDefault="001E7126" w:rsidP="001233DD">
      <w:pPr>
        <w:tabs>
          <w:tab w:val="left" w:pos="1418"/>
        </w:tabs>
        <w:spacing w:after="0" w:line="240" w:lineRule="auto"/>
      </w:pPr>
      <w:r>
        <w:t>CLA</w:t>
      </w:r>
      <w:r>
        <w:tab/>
      </w:r>
      <w:r w:rsidR="00863199">
        <w:t>Copyright Licence Agency</w:t>
      </w:r>
    </w:p>
    <w:p w:rsidR="002E6D9D" w:rsidRDefault="002E6D9D" w:rsidP="00B4796F">
      <w:pPr>
        <w:spacing w:after="0" w:line="240" w:lineRule="auto"/>
        <w:ind w:hanging="33"/>
        <w:jc w:val="both"/>
      </w:pPr>
      <w:r>
        <w:t>CQM</w:t>
      </w:r>
      <w:r>
        <w:tab/>
      </w:r>
      <w:r>
        <w:tab/>
        <w:t>College Quality Manual</w:t>
      </w:r>
    </w:p>
    <w:p w:rsidR="00F45327" w:rsidRDefault="009731DE" w:rsidP="00B4796F">
      <w:pPr>
        <w:spacing w:after="0" w:line="240" w:lineRule="auto"/>
        <w:ind w:hanging="33"/>
        <w:jc w:val="both"/>
      </w:pPr>
      <w:r>
        <w:t>FD</w:t>
      </w:r>
      <w:r>
        <w:tab/>
      </w:r>
      <w:r>
        <w:tab/>
        <w:t>Finance Director</w:t>
      </w:r>
    </w:p>
    <w:p w:rsidR="00F45327" w:rsidRDefault="009731DE" w:rsidP="00B4796F">
      <w:pPr>
        <w:spacing w:after="0" w:line="240" w:lineRule="auto"/>
        <w:ind w:hanging="33"/>
        <w:jc w:val="both"/>
      </w:pPr>
      <w:r>
        <w:t>H</w:t>
      </w:r>
      <w:r w:rsidR="00F45327">
        <w:t>CSS</w:t>
      </w:r>
      <w:r>
        <w:tab/>
      </w:r>
      <w:r>
        <w:tab/>
        <w:t>Head</w:t>
      </w:r>
      <w:r w:rsidR="00F45327">
        <w:t xml:space="preserve"> of Compliance Systems and Services</w:t>
      </w:r>
    </w:p>
    <w:p w:rsidR="00B4796F" w:rsidRDefault="00FD3BE8" w:rsidP="00B4796F">
      <w:pPr>
        <w:spacing w:after="0" w:line="240" w:lineRule="auto"/>
        <w:ind w:hanging="33"/>
        <w:jc w:val="both"/>
      </w:pPr>
      <w:r>
        <w:t>DMD</w:t>
      </w:r>
      <w:r>
        <w:tab/>
      </w:r>
      <w:r>
        <w:tab/>
        <w:t>Definitive Module Document</w:t>
      </w:r>
    </w:p>
    <w:p w:rsidR="00B4796F" w:rsidRDefault="00FD3BE8" w:rsidP="00B4796F">
      <w:pPr>
        <w:spacing w:after="0" w:line="240" w:lineRule="auto"/>
        <w:ind w:left="1418"/>
        <w:jc w:val="both"/>
        <w:rPr>
          <w:rFonts w:ascii="Calibri" w:eastAsia="Times New Roman" w:hAnsi="Calibri" w:cs="Arial"/>
          <w:color w:val="000000"/>
          <w:lang w:val="en-AU" w:eastAsia="en-AU"/>
        </w:rPr>
      </w:pPr>
      <w:r w:rsidRPr="00D608EB">
        <w:rPr>
          <w:rFonts w:ascii="Calibri" w:eastAsia="Times New Roman" w:hAnsi="Calibri" w:cs="Arial"/>
          <w:lang w:val="en-AU" w:eastAsia="en-AU"/>
        </w:rPr>
        <w:t xml:space="preserve">This document </w:t>
      </w:r>
      <w:r w:rsidRPr="00D608EB">
        <w:rPr>
          <w:rFonts w:ascii="Calibri" w:eastAsia="Times New Roman" w:hAnsi="Calibri" w:cs="Arial"/>
          <w:color w:val="000000"/>
          <w:lang w:val="en-AU" w:eastAsia="en-AU"/>
        </w:rPr>
        <w:t xml:space="preserve">provides uniformity in the </w:t>
      </w:r>
      <w:r>
        <w:rPr>
          <w:rFonts w:ascii="Calibri" w:eastAsia="Times New Roman" w:hAnsi="Calibri" w:cs="Arial"/>
          <w:color w:val="000000"/>
          <w:lang w:val="en-AU" w:eastAsia="en-AU"/>
        </w:rPr>
        <w:t>description</w:t>
      </w:r>
      <w:r w:rsidRPr="00D608EB">
        <w:rPr>
          <w:rFonts w:ascii="Calibri" w:eastAsia="Times New Roman" w:hAnsi="Calibri" w:cs="Arial"/>
          <w:color w:val="000000"/>
          <w:lang w:val="en-AU" w:eastAsia="en-AU"/>
        </w:rPr>
        <w:t xml:space="preserve"> of a </w:t>
      </w:r>
      <w:r>
        <w:rPr>
          <w:rFonts w:ascii="Calibri" w:eastAsia="Times New Roman" w:hAnsi="Calibri" w:cs="Arial"/>
          <w:color w:val="000000"/>
          <w:lang w:val="en-AU" w:eastAsia="en-AU"/>
        </w:rPr>
        <w:t xml:space="preserve">module, including the </w:t>
      </w:r>
      <w:r w:rsidRPr="00D608EB">
        <w:rPr>
          <w:rFonts w:ascii="Calibri" w:eastAsia="Times New Roman" w:hAnsi="Calibri" w:cs="Arial"/>
          <w:color w:val="000000"/>
          <w:lang w:val="en-AU" w:eastAsia="en-AU"/>
        </w:rPr>
        <w:t>syllabus</w:t>
      </w:r>
      <w:r>
        <w:rPr>
          <w:rFonts w:ascii="Calibri" w:eastAsia="Times New Roman" w:hAnsi="Calibri" w:cs="Arial"/>
          <w:color w:val="000000"/>
          <w:lang w:val="en-AU" w:eastAsia="en-AU"/>
        </w:rPr>
        <w:t>,</w:t>
      </w:r>
      <w:r w:rsidRPr="00D608EB">
        <w:rPr>
          <w:rFonts w:ascii="Calibri" w:eastAsia="Times New Roman" w:hAnsi="Calibri" w:cs="Arial"/>
          <w:color w:val="000000"/>
          <w:lang w:val="en-AU" w:eastAsia="en-AU"/>
        </w:rPr>
        <w:t xml:space="preserve"> the </w:t>
      </w:r>
      <w:r>
        <w:rPr>
          <w:rFonts w:ascii="Calibri" w:eastAsia="Times New Roman" w:hAnsi="Calibri" w:cs="Arial"/>
          <w:color w:val="000000"/>
          <w:lang w:val="en-AU" w:eastAsia="en-AU"/>
        </w:rPr>
        <w:t xml:space="preserve">intended learning outcomes, and how they will be assessed. </w:t>
      </w:r>
      <w:r w:rsidRPr="00D608EB">
        <w:rPr>
          <w:rFonts w:ascii="Calibri" w:eastAsia="Times New Roman" w:hAnsi="Calibri" w:cs="Arial"/>
          <w:color w:val="000000"/>
          <w:lang w:val="en-AU" w:eastAsia="en-AU"/>
        </w:rPr>
        <w:t xml:space="preserve"> </w:t>
      </w:r>
    </w:p>
    <w:p w:rsidR="00FD3BE8" w:rsidRDefault="00B4796F" w:rsidP="001233DD">
      <w:pPr>
        <w:tabs>
          <w:tab w:val="left" w:pos="1418"/>
        </w:tabs>
        <w:spacing w:after="0" w:line="240" w:lineRule="auto"/>
      </w:pPr>
      <w:r>
        <w:t>EGM</w:t>
      </w:r>
      <w:r>
        <w:tab/>
        <w:t>Executive General Manager</w:t>
      </w:r>
    </w:p>
    <w:p w:rsidR="009731DE" w:rsidRDefault="009731DE" w:rsidP="001233DD">
      <w:pPr>
        <w:tabs>
          <w:tab w:val="left" w:pos="1418"/>
        </w:tabs>
        <w:spacing w:after="0" w:line="240" w:lineRule="auto"/>
      </w:pPr>
      <w:r>
        <w:t>GMMR</w:t>
      </w:r>
      <w:r>
        <w:tab/>
        <w:t>General Manager Marketing and Recruitment</w:t>
      </w:r>
    </w:p>
    <w:p w:rsidR="001233DD" w:rsidRDefault="001233DD" w:rsidP="001233DD">
      <w:pPr>
        <w:tabs>
          <w:tab w:val="left" w:pos="1418"/>
        </w:tabs>
        <w:spacing w:after="0" w:line="240" w:lineRule="auto"/>
      </w:pPr>
      <w:r>
        <w:t>JSPMB</w:t>
      </w:r>
      <w:r>
        <w:tab/>
        <w:t>Joint Strategic Partnership Management Board</w:t>
      </w:r>
    </w:p>
    <w:p w:rsidR="00325D02" w:rsidRDefault="00325D02" w:rsidP="001233DD">
      <w:pPr>
        <w:tabs>
          <w:tab w:val="left" w:pos="1418"/>
        </w:tabs>
        <w:spacing w:after="0" w:line="240" w:lineRule="auto"/>
      </w:pPr>
      <w:r>
        <w:t>LTC</w:t>
      </w:r>
      <w:r>
        <w:tab/>
      </w:r>
      <w:r w:rsidR="009731DE">
        <w:t>Navitas UPE</w:t>
      </w:r>
      <w:r w:rsidR="00B4796F">
        <w:t xml:space="preserve"> </w:t>
      </w:r>
      <w:r>
        <w:t>Learning and Teaching Committee</w:t>
      </w:r>
    </w:p>
    <w:p w:rsidR="00325D02" w:rsidRDefault="00325D02" w:rsidP="001233DD">
      <w:pPr>
        <w:tabs>
          <w:tab w:val="left" w:pos="1418"/>
        </w:tabs>
        <w:spacing w:after="0" w:line="240" w:lineRule="auto"/>
      </w:pPr>
      <w:r>
        <w:t>LTF</w:t>
      </w:r>
      <w:r>
        <w:tab/>
      </w:r>
      <w:r w:rsidR="009731DE">
        <w:t>Navitas UPE</w:t>
      </w:r>
      <w:r w:rsidR="00B4796F">
        <w:t xml:space="preserve"> </w:t>
      </w:r>
      <w:r>
        <w:t>Learning and Teaching Forum</w:t>
      </w:r>
    </w:p>
    <w:p w:rsidR="001233DD" w:rsidRDefault="00FE7009" w:rsidP="001233DD">
      <w:pPr>
        <w:tabs>
          <w:tab w:val="left" w:pos="1418"/>
        </w:tabs>
        <w:spacing w:after="0" w:line="240" w:lineRule="auto"/>
      </w:pPr>
      <w:r>
        <w:t>MPAC</w:t>
      </w:r>
      <w:r>
        <w:tab/>
        <w:t>Marketing and Planning</w:t>
      </w:r>
      <w:r w:rsidR="001233DD">
        <w:t xml:space="preserve"> Advisory Committee</w:t>
      </w:r>
    </w:p>
    <w:p w:rsidR="001E7126" w:rsidRPr="00F13BE4" w:rsidRDefault="001E7126" w:rsidP="001233DD">
      <w:pPr>
        <w:tabs>
          <w:tab w:val="left" w:pos="1418"/>
        </w:tabs>
        <w:spacing w:after="0" w:line="240" w:lineRule="auto"/>
      </w:pPr>
      <w:r>
        <w:t>NLA</w:t>
      </w:r>
      <w:r>
        <w:tab/>
      </w:r>
      <w:r w:rsidR="00863199">
        <w:t>Newspaper Licence Agency</w:t>
      </w:r>
    </w:p>
    <w:p w:rsidR="001233DD" w:rsidRDefault="00DF3B5D" w:rsidP="00DF3B5D">
      <w:pPr>
        <w:tabs>
          <w:tab w:val="left" w:pos="1418"/>
        </w:tabs>
        <w:spacing w:after="0" w:line="240" w:lineRule="auto"/>
      </w:pPr>
      <w:r>
        <w:t>NPR</w:t>
      </w:r>
      <w:r>
        <w:tab/>
      </w:r>
      <w:r w:rsidR="009731DE">
        <w:t>Navitas UPE</w:t>
      </w:r>
      <w:r w:rsidR="00B4796F">
        <w:t xml:space="preserve"> </w:t>
      </w:r>
      <w:r>
        <w:t>Policy and Procedure</w:t>
      </w:r>
    </w:p>
    <w:p w:rsidR="00325D02" w:rsidRDefault="00325D02" w:rsidP="00DF3B5D">
      <w:pPr>
        <w:tabs>
          <w:tab w:val="left" w:pos="1418"/>
        </w:tabs>
        <w:spacing w:after="0" w:line="240" w:lineRule="auto"/>
      </w:pPr>
      <w:r>
        <w:t>N</w:t>
      </w:r>
      <w:r w:rsidR="009731DE">
        <w:t>OLT</w:t>
      </w:r>
      <w:r>
        <w:tab/>
      </w:r>
      <w:r w:rsidR="009731DE">
        <w:t>Navitas UPE</w:t>
      </w:r>
      <w:r w:rsidR="00B4796F">
        <w:t xml:space="preserve"> </w:t>
      </w:r>
      <w:r w:rsidR="009731DE">
        <w:t xml:space="preserve">Operational Leadership </w:t>
      </w:r>
      <w:r>
        <w:t>Team</w:t>
      </w:r>
    </w:p>
    <w:p w:rsidR="00F13BE4" w:rsidRDefault="00F13BE4" w:rsidP="00F13BE4">
      <w:pPr>
        <w:tabs>
          <w:tab w:val="left" w:pos="1418"/>
        </w:tabs>
        <w:spacing w:after="0" w:line="240" w:lineRule="auto"/>
      </w:pPr>
      <w:r>
        <w:t>OAC</w:t>
      </w:r>
      <w:r>
        <w:tab/>
        <w:t>Operational Advisory Committee</w:t>
      </w:r>
    </w:p>
    <w:p w:rsidR="001E7126" w:rsidRDefault="001E7126" w:rsidP="00F13BE4">
      <w:pPr>
        <w:tabs>
          <w:tab w:val="left" w:pos="1418"/>
        </w:tabs>
        <w:spacing w:after="0" w:line="240" w:lineRule="auto"/>
      </w:pPr>
      <w:r>
        <w:t>QAA</w:t>
      </w:r>
      <w:r>
        <w:tab/>
        <w:t>Quality Assurance Agency</w:t>
      </w:r>
    </w:p>
    <w:p w:rsidR="00325D02" w:rsidRDefault="00325D02" w:rsidP="00F13BE4">
      <w:pPr>
        <w:tabs>
          <w:tab w:val="left" w:pos="1418"/>
        </w:tabs>
        <w:spacing w:after="0" w:line="240" w:lineRule="auto"/>
      </w:pPr>
      <w:r>
        <w:t>QaSO</w:t>
      </w:r>
      <w:r>
        <w:tab/>
      </w:r>
      <w:r w:rsidR="009731DE">
        <w:t>Navitas UPE</w:t>
      </w:r>
      <w:r w:rsidR="00B4796F">
        <w:t xml:space="preserve"> </w:t>
      </w:r>
      <w:r>
        <w:t>Quality and Standards Office</w:t>
      </w:r>
    </w:p>
    <w:p w:rsidR="005F4AA0" w:rsidRDefault="00FE7009" w:rsidP="00F13BE4">
      <w:pPr>
        <w:tabs>
          <w:tab w:val="left" w:pos="1418"/>
        </w:tabs>
        <w:spacing w:after="0" w:line="240" w:lineRule="auto"/>
      </w:pPr>
      <w:r>
        <w:t>RA</w:t>
      </w:r>
      <w:r w:rsidR="005F4AA0">
        <w:t>A</w:t>
      </w:r>
      <w:r w:rsidR="005F4AA0">
        <w:tab/>
        <w:t>Recognition and Articulation Agreement</w:t>
      </w:r>
    </w:p>
    <w:p w:rsidR="00E048A5" w:rsidRDefault="00E048A5" w:rsidP="00F13BE4">
      <w:pPr>
        <w:tabs>
          <w:tab w:val="left" w:pos="1418"/>
        </w:tabs>
        <w:spacing w:after="0" w:line="240" w:lineRule="auto"/>
      </w:pPr>
      <w:r>
        <w:t>SIJ</w:t>
      </w:r>
      <w:r>
        <w:tab/>
        <w:t>Students in Jeopardy</w:t>
      </w:r>
    </w:p>
    <w:p w:rsidR="00325D02" w:rsidRDefault="009731DE" w:rsidP="00F13BE4">
      <w:pPr>
        <w:tabs>
          <w:tab w:val="left" w:pos="1418"/>
        </w:tabs>
        <w:spacing w:after="0" w:line="240" w:lineRule="auto"/>
      </w:pPr>
      <w:r>
        <w:t>E</w:t>
      </w:r>
      <w:r w:rsidR="00863199">
        <w:t>LT</w:t>
      </w:r>
      <w:r w:rsidR="00325D02">
        <w:tab/>
        <w:t xml:space="preserve">Navitas </w:t>
      </w:r>
      <w:r>
        <w:t xml:space="preserve">Executive </w:t>
      </w:r>
      <w:r w:rsidR="00863199">
        <w:t>Leadership Team</w:t>
      </w:r>
    </w:p>
    <w:p w:rsidR="00F45327" w:rsidRDefault="00F45327" w:rsidP="00F13BE4">
      <w:pPr>
        <w:tabs>
          <w:tab w:val="left" w:pos="1418"/>
        </w:tabs>
        <w:spacing w:after="0" w:line="240" w:lineRule="auto"/>
      </w:pPr>
      <w:r>
        <w:t>MITSS</w:t>
      </w:r>
      <w:r>
        <w:tab/>
        <w:t>Manager of IT Systems and Services</w:t>
      </w:r>
    </w:p>
    <w:p w:rsidR="001E7126" w:rsidRDefault="001E7126" w:rsidP="00F13BE4">
      <w:pPr>
        <w:tabs>
          <w:tab w:val="left" w:pos="1418"/>
        </w:tabs>
        <w:spacing w:after="0" w:line="240" w:lineRule="auto"/>
      </w:pPr>
      <w:r>
        <w:t>UK</w:t>
      </w:r>
      <w:r w:rsidR="009731DE">
        <w:t>VI</w:t>
      </w:r>
      <w:r>
        <w:tab/>
        <w:t xml:space="preserve">United Kingdom </w:t>
      </w:r>
      <w:r w:rsidR="002E6D9D">
        <w:t>(</w:t>
      </w:r>
      <w:r w:rsidR="00E802B3">
        <w:t>Home Office</w:t>
      </w:r>
      <w:r w:rsidR="002E6D9D">
        <w:t>)</w:t>
      </w:r>
      <w:r w:rsidR="00E802B3">
        <w:t xml:space="preserve"> </w:t>
      </w:r>
      <w:r w:rsidR="009731DE">
        <w:t>Visa Immigration</w:t>
      </w:r>
    </w:p>
    <w:p w:rsidR="00D608EB" w:rsidRPr="00D608EB" w:rsidRDefault="00D608EB" w:rsidP="00D608EB">
      <w:pPr>
        <w:spacing w:after="0" w:line="240" w:lineRule="auto"/>
        <w:jc w:val="both"/>
        <w:rPr>
          <w:rFonts w:eastAsia="Times New Roman" w:cs="Arial"/>
          <w:lang w:val="en-AU" w:eastAsia="en-AU"/>
        </w:rPr>
      </w:pPr>
    </w:p>
    <w:p w:rsidR="00D608EB" w:rsidRPr="00D608EB" w:rsidRDefault="00D608EB" w:rsidP="00D608EB">
      <w:pPr>
        <w:spacing w:after="0" w:line="240" w:lineRule="auto"/>
        <w:ind w:left="2160" w:hanging="2160"/>
        <w:jc w:val="both"/>
        <w:rPr>
          <w:rFonts w:ascii="Calibri" w:eastAsia="Times New Roman" w:hAnsi="Calibri" w:cs="Arial"/>
          <w:lang w:val="en-AU" w:eastAsia="en-AU"/>
        </w:rPr>
      </w:pPr>
    </w:p>
    <w:p w:rsidR="00D608EB" w:rsidRPr="00D608EB" w:rsidRDefault="00D608EB" w:rsidP="00D608EB">
      <w:pPr>
        <w:spacing w:after="0" w:line="240" w:lineRule="auto"/>
        <w:jc w:val="both"/>
        <w:rPr>
          <w:rFonts w:ascii="Calibri" w:eastAsia="Times New Roman" w:hAnsi="Calibri" w:cs="Arial"/>
          <w:lang w:val="en-AU" w:eastAsia="en-AU"/>
        </w:rPr>
      </w:pPr>
      <w:r w:rsidRPr="00D608EB">
        <w:rPr>
          <w:rFonts w:ascii="Calibri" w:eastAsia="Times New Roman" w:hAnsi="Calibri" w:cs="Arial"/>
          <w:b/>
          <w:lang w:val="en-AU" w:eastAsia="en-AU"/>
        </w:rPr>
        <w:t>Enrolled student</w:t>
      </w:r>
    </w:p>
    <w:p w:rsidR="00D608EB" w:rsidRPr="00D608EB" w:rsidRDefault="00D608EB" w:rsidP="007603D1">
      <w:pPr>
        <w:spacing w:after="0" w:line="240" w:lineRule="auto"/>
        <w:jc w:val="both"/>
        <w:rPr>
          <w:rFonts w:ascii="Calibri" w:eastAsia="Times New Roman" w:hAnsi="Calibri" w:cs="Arial"/>
          <w:lang w:val="en-AU" w:eastAsia="en-AU"/>
        </w:rPr>
      </w:pPr>
      <w:r w:rsidRPr="00D608EB">
        <w:rPr>
          <w:rFonts w:ascii="Calibri" w:eastAsia="Times New Roman" w:hAnsi="Calibri" w:cs="Arial"/>
          <w:lang w:val="en-AU" w:eastAsia="en-AU"/>
        </w:rPr>
        <w:t>A student enrols once on entry to the College and then re-registers at the start of each new semester. An enrolled student is one who holds candidature to an assessment. Each enrolled student is also registered with the partner University, see Registered student.</w:t>
      </w:r>
    </w:p>
    <w:p w:rsidR="00D608EB" w:rsidRPr="00D608EB" w:rsidRDefault="00D608EB" w:rsidP="007603D1">
      <w:pPr>
        <w:spacing w:after="0" w:line="240" w:lineRule="auto"/>
        <w:jc w:val="both"/>
        <w:rPr>
          <w:rFonts w:eastAsia="Times New Roman" w:cstheme="minorHAnsi"/>
          <w:lang w:val="en-AU" w:eastAsia="en-AU"/>
        </w:rPr>
      </w:pPr>
    </w:p>
    <w:p w:rsidR="00D608EB" w:rsidRPr="00D608EB" w:rsidRDefault="00D608EB" w:rsidP="007603D1">
      <w:pPr>
        <w:spacing w:after="0" w:line="240" w:lineRule="auto"/>
        <w:jc w:val="both"/>
        <w:rPr>
          <w:rFonts w:ascii="Calibri" w:eastAsia="Times New Roman" w:hAnsi="Calibri" w:cs="Arial"/>
          <w:b/>
          <w:lang w:val="en-AU" w:eastAsia="en-AU"/>
        </w:rPr>
      </w:pPr>
      <w:r w:rsidRPr="00D608EB">
        <w:rPr>
          <w:rFonts w:ascii="Calibri" w:eastAsia="Times New Roman" w:hAnsi="Calibri" w:cs="Arial"/>
          <w:b/>
          <w:lang w:val="en-AU" w:eastAsia="en-AU"/>
        </w:rPr>
        <w:t>I</w:t>
      </w:r>
      <w:r w:rsidR="00FE7009">
        <w:rPr>
          <w:rFonts w:ascii="Calibri" w:eastAsia="Times New Roman" w:hAnsi="Calibri" w:cs="Arial"/>
          <w:b/>
          <w:lang w:val="en-AU" w:eastAsia="en-AU"/>
        </w:rPr>
        <w:t>ntensive English Language (IEL)</w:t>
      </w:r>
    </w:p>
    <w:p w:rsidR="00D608EB" w:rsidRPr="00D608EB" w:rsidRDefault="00D608EB" w:rsidP="007603D1">
      <w:pPr>
        <w:spacing w:after="0" w:line="240" w:lineRule="auto"/>
        <w:jc w:val="both"/>
        <w:rPr>
          <w:rFonts w:ascii="Calibri" w:eastAsia="Times New Roman" w:hAnsi="Calibri" w:cs="Arial"/>
          <w:lang w:val="en-AU" w:eastAsia="en-AU"/>
        </w:rPr>
      </w:pPr>
      <w:r w:rsidRPr="00D608EB">
        <w:rPr>
          <w:rFonts w:ascii="Calibri" w:eastAsia="Times New Roman" w:hAnsi="Calibri" w:cs="Arial"/>
          <w:lang w:val="en-AU" w:eastAsia="en-AU"/>
        </w:rPr>
        <w:t>A course of</w:t>
      </w:r>
      <w:r w:rsidR="00FE7009">
        <w:rPr>
          <w:rFonts w:ascii="Calibri" w:eastAsia="Times New Roman" w:hAnsi="Calibri" w:cs="Arial"/>
          <w:lang w:val="en-AU" w:eastAsia="en-AU"/>
        </w:rPr>
        <w:t xml:space="preserve"> English language that can be twelve</w:t>
      </w:r>
      <w:r w:rsidRPr="00D608EB">
        <w:rPr>
          <w:rFonts w:ascii="Calibri" w:eastAsia="Times New Roman" w:hAnsi="Calibri" w:cs="Arial"/>
          <w:lang w:val="en-AU" w:eastAsia="en-AU"/>
        </w:rPr>
        <w:t xml:space="preserve">, eight or six weeks </w:t>
      </w:r>
      <w:r w:rsidR="00FE7009">
        <w:rPr>
          <w:rFonts w:ascii="Calibri" w:eastAsia="Times New Roman" w:hAnsi="Calibri" w:cs="Arial"/>
          <w:lang w:val="en-AU" w:eastAsia="en-AU"/>
        </w:rPr>
        <w:t>in duration with a minimum of twenty</w:t>
      </w:r>
      <w:r w:rsidRPr="00D608EB">
        <w:rPr>
          <w:rFonts w:ascii="Calibri" w:eastAsia="Times New Roman" w:hAnsi="Calibri" w:cs="Arial"/>
          <w:lang w:val="en-AU" w:eastAsia="en-AU"/>
        </w:rPr>
        <w:t xml:space="preserve"> contact hours per week and prescribed for students who need to meet the CEFR B2 requirement. All IEL courses are </w:t>
      </w:r>
      <w:r w:rsidR="00FE7009">
        <w:rPr>
          <w:rFonts w:ascii="Calibri" w:eastAsia="Times New Roman" w:hAnsi="Calibri" w:cs="Arial"/>
          <w:lang w:val="en-AU" w:eastAsia="en-AU"/>
        </w:rPr>
        <w:t>taken prior to an</w:t>
      </w:r>
      <w:r w:rsidRPr="00D608EB">
        <w:rPr>
          <w:rFonts w:ascii="Calibri" w:eastAsia="Times New Roman" w:hAnsi="Calibri" w:cs="Arial"/>
          <w:lang w:val="en-AU" w:eastAsia="en-AU"/>
        </w:rPr>
        <w:t xml:space="preserve"> academic pathway.</w:t>
      </w:r>
    </w:p>
    <w:p w:rsidR="00D608EB" w:rsidRPr="00D608EB" w:rsidRDefault="00D608EB" w:rsidP="007603D1">
      <w:pPr>
        <w:spacing w:after="0" w:line="240" w:lineRule="auto"/>
        <w:jc w:val="both"/>
        <w:rPr>
          <w:rFonts w:ascii="Calibri" w:eastAsia="Times New Roman" w:hAnsi="Calibri" w:cs="Arial"/>
          <w:lang w:val="en-AU" w:eastAsia="en-AU"/>
        </w:rPr>
      </w:pPr>
    </w:p>
    <w:p w:rsidR="00D608EB" w:rsidRPr="00D608EB" w:rsidRDefault="00D608EB" w:rsidP="007603D1">
      <w:pPr>
        <w:autoSpaceDE w:val="0"/>
        <w:autoSpaceDN w:val="0"/>
        <w:adjustRightInd w:val="0"/>
        <w:spacing w:after="0" w:line="240" w:lineRule="auto"/>
        <w:jc w:val="both"/>
        <w:rPr>
          <w:rFonts w:eastAsiaTheme="minorHAnsi" w:cs="Arial"/>
          <w:lang w:eastAsia="en-US"/>
        </w:rPr>
      </w:pPr>
      <w:r w:rsidRPr="00D608EB">
        <w:rPr>
          <w:rFonts w:ascii="Calibri" w:eastAsia="Times New Roman" w:hAnsi="Calibri" w:cs="Arial"/>
          <w:b/>
          <w:lang w:val="en-AU" w:eastAsia="en-AU"/>
        </w:rPr>
        <w:t>MAZE</w:t>
      </w:r>
      <w:r w:rsidR="00E01F2E">
        <w:rPr>
          <w:rFonts w:ascii="Calibri" w:eastAsia="Times New Roman" w:hAnsi="Calibri" w:cs="Arial"/>
          <w:b/>
          <w:lang w:val="en-AU" w:eastAsia="en-AU"/>
        </w:rPr>
        <w:t>/NAVIGATE</w:t>
      </w:r>
    </w:p>
    <w:p w:rsidR="00D608EB" w:rsidRPr="00D608EB" w:rsidRDefault="00D608EB" w:rsidP="007603D1">
      <w:pPr>
        <w:spacing w:after="0" w:line="240" w:lineRule="auto"/>
        <w:jc w:val="both"/>
        <w:rPr>
          <w:rFonts w:ascii="Calibri" w:eastAsia="Times New Roman" w:hAnsi="Calibri" w:cs="Arial"/>
          <w:lang w:val="en-AU" w:eastAsia="en-AU"/>
        </w:rPr>
      </w:pPr>
      <w:r w:rsidRPr="00D608EB">
        <w:rPr>
          <w:rFonts w:ascii="Calibri" w:eastAsia="Times New Roman" w:hAnsi="Calibri" w:cs="Arial"/>
          <w:lang w:val="en-AU" w:eastAsia="en-AU"/>
        </w:rPr>
        <w:t>MAZE</w:t>
      </w:r>
      <w:r w:rsidR="00E01F2E">
        <w:rPr>
          <w:rFonts w:ascii="Calibri" w:eastAsia="Times New Roman" w:hAnsi="Calibri" w:cs="Arial"/>
          <w:lang w:val="en-AU" w:eastAsia="en-AU"/>
        </w:rPr>
        <w:t>/Navigate</w:t>
      </w:r>
      <w:r w:rsidRPr="00D608EB">
        <w:rPr>
          <w:rFonts w:ascii="Calibri" w:eastAsia="Times New Roman" w:hAnsi="Calibri" w:cs="Arial"/>
          <w:lang w:val="en-AU" w:eastAsia="en-AU"/>
        </w:rPr>
        <w:t xml:space="preserve"> is the standard Student Records Management System </w:t>
      </w:r>
      <w:r w:rsidR="005F4AA0">
        <w:rPr>
          <w:rFonts w:ascii="Calibri" w:eastAsia="Times New Roman" w:hAnsi="Calibri" w:cs="Arial"/>
          <w:lang w:val="en-AU" w:eastAsia="en-AU"/>
        </w:rPr>
        <w:t xml:space="preserve">used by Navitas </w:t>
      </w:r>
      <w:r w:rsidRPr="00D608EB">
        <w:rPr>
          <w:rFonts w:ascii="Calibri" w:eastAsia="Times New Roman" w:hAnsi="Calibri" w:cs="Arial"/>
          <w:lang w:val="en-AU" w:eastAsia="en-AU"/>
        </w:rPr>
        <w:t>that houses the data for each applicant, enrolled, terminated, deferred and withdrawn student</w:t>
      </w:r>
      <w:r w:rsidR="005F4AA0">
        <w:rPr>
          <w:rFonts w:ascii="Calibri" w:eastAsia="Times New Roman" w:hAnsi="Calibri" w:cs="Arial"/>
          <w:lang w:val="en-AU" w:eastAsia="en-AU"/>
        </w:rPr>
        <w:t>.  This data is held in perpetuity.</w:t>
      </w:r>
      <w:r w:rsidRPr="00D608EB">
        <w:rPr>
          <w:rFonts w:ascii="Calibri" w:eastAsia="Times New Roman" w:hAnsi="Calibri" w:cs="Arial"/>
          <w:lang w:val="en-AU" w:eastAsia="en-AU"/>
        </w:rPr>
        <w:t xml:space="preserve"> </w:t>
      </w:r>
    </w:p>
    <w:p w:rsidR="00D608EB" w:rsidRPr="00D608EB" w:rsidRDefault="00D608EB" w:rsidP="007603D1">
      <w:pPr>
        <w:spacing w:after="0" w:line="240" w:lineRule="auto"/>
        <w:jc w:val="both"/>
        <w:rPr>
          <w:rFonts w:ascii="Calibri" w:eastAsia="Times New Roman" w:hAnsi="Calibri" w:cs="Arial"/>
          <w:b/>
          <w:lang w:val="en-AU" w:eastAsia="en-AU"/>
        </w:rPr>
      </w:pPr>
    </w:p>
    <w:p w:rsidR="00D608EB" w:rsidRPr="00D608EB" w:rsidRDefault="00D608EB" w:rsidP="007603D1">
      <w:pPr>
        <w:spacing w:after="0" w:line="240" w:lineRule="auto"/>
        <w:jc w:val="both"/>
        <w:rPr>
          <w:rFonts w:ascii="Calibri" w:eastAsia="Times New Roman" w:hAnsi="Calibri" w:cs="Arial"/>
          <w:b/>
          <w:lang w:val="en-AU" w:eastAsia="en-AU"/>
        </w:rPr>
      </w:pPr>
      <w:r w:rsidRPr="00D608EB">
        <w:rPr>
          <w:rFonts w:ascii="Calibri" w:eastAsia="Times New Roman" w:hAnsi="Calibri" w:cs="Arial"/>
          <w:b/>
          <w:lang w:val="en-AU" w:eastAsia="en-AU"/>
        </w:rPr>
        <w:t>Module Gui</w:t>
      </w:r>
      <w:r w:rsidR="00FE7009">
        <w:rPr>
          <w:rFonts w:ascii="Calibri" w:eastAsia="Times New Roman" w:hAnsi="Calibri" w:cs="Arial"/>
          <w:b/>
          <w:lang w:val="en-AU" w:eastAsia="en-AU"/>
        </w:rPr>
        <w:t>de (MG)</w:t>
      </w:r>
    </w:p>
    <w:p w:rsidR="00D608EB" w:rsidRPr="00D608EB" w:rsidRDefault="00D608EB" w:rsidP="007603D1">
      <w:pPr>
        <w:spacing w:after="0" w:line="240" w:lineRule="auto"/>
        <w:jc w:val="both"/>
        <w:rPr>
          <w:rFonts w:ascii="Calibri" w:eastAsia="Times New Roman" w:hAnsi="Calibri" w:cs="Arial"/>
          <w:lang w:val="en-AU" w:eastAsia="en-AU"/>
        </w:rPr>
      </w:pPr>
      <w:r w:rsidRPr="00D608EB">
        <w:rPr>
          <w:rFonts w:ascii="Calibri" w:eastAsia="Times New Roman" w:hAnsi="Calibri" w:cs="Arial"/>
          <w:lang w:val="en-AU" w:eastAsia="en-AU"/>
        </w:rPr>
        <w:t xml:space="preserve">Provides detailed academic text on a session-by-session basis. It may be used as the main text for a module of study and supported by a series of core textbooks. </w:t>
      </w:r>
    </w:p>
    <w:p w:rsidR="00D608EB" w:rsidRPr="00D608EB" w:rsidRDefault="00D608EB" w:rsidP="007603D1">
      <w:pPr>
        <w:spacing w:after="0" w:line="240" w:lineRule="auto"/>
        <w:jc w:val="both"/>
        <w:rPr>
          <w:rFonts w:ascii="Calibri" w:eastAsia="Times New Roman" w:hAnsi="Calibri" w:cs="Arial"/>
          <w:lang w:val="en-AU" w:eastAsia="en-AU"/>
        </w:rPr>
      </w:pPr>
    </w:p>
    <w:p w:rsidR="00D608EB" w:rsidRPr="00D608EB" w:rsidRDefault="00D608EB" w:rsidP="007603D1">
      <w:pPr>
        <w:spacing w:after="0" w:line="240" w:lineRule="auto"/>
        <w:jc w:val="both"/>
        <w:rPr>
          <w:rFonts w:ascii="Calibri" w:eastAsia="Times New Roman" w:hAnsi="Calibri" w:cs="Arial"/>
          <w:b/>
          <w:lang w:val="en-AU" w:eastAsia="en-AU"/>
        </w:rPr>
      </w:pPr>
      <w:r w:rsidRPr="00D608EB">
        <w:rPr>
          <w:rFonts w:ascii="Calibri" w:eastAsia="Times New Roman" w:hAnsi="Calibri" w:cs="Arial"/>
          <w:b/>
          <w:lang w:val="en-AU" w:eastAsia="en-AU"/>
        </w:rPr>
        <w:t>Pathway</w:t>
      </w:r>
    </w:p>
    <w:p w:rsidR="00D608EB" w:rsidRPr="00D608EB" w:rsidRDefault="00D608EB" w:rsidP="007603D1">
      <w:pPr>
        <w:spacing w:after="0" w:line="240" w:lineRule="auto"/>
        <w:jc w:val="both"/>
        <w:rPr>
          <w:rFonts w:ascii="Calibri" w:eastAsia="Times New Roman" w:hAnsi="Calibri" w:cs="Arial"/>
          <w:lang w:val="en-AU" w:eastAsia="en-AU"/>
        </w:rPr>
      </w:pPr>
      <w:r w:rsidRPr="00D608EB">
        <w:rPr>
          <w:rFonts w:ascii="Calibri" w:eastAsia="Times New Roman" w:hAnsi="Calibri" w:cs="Arial"/>
          <w:lang w:val="en-AU" w:eastAsia="en-AU"/>
        </w:rPr>
        <w:t>Is defined as the</w:t>
      </w:r>
      <w:r w:rsidR="005F4AA0">
        <w:rPr>
          <w:rFonts w:ascii="Calibri" w:eastAsia="Times New Roman" w:hAnsi="Calibri" w:cs="Arial"/>
          <w:lang w:val="en-AU" w:eastAsia="en-AU"/>
        </w:rPr>
        <w:t xml:space="preserve"> education continuum</w:t>
      </w:r>
      <w:r w:rsidRPr="00D608EB">
        <w:rPr>
          <w:rFonts w:ascii="Calibri" w:eastAsia="Times New Roman" w:hAnsi="Calibri" w:cs="Arial"/>
          <w:lang w:val="en-AU" w:eastAsia="en-AU"/>
        </w:rPr>
        <w:t xml:space="preserve"> leading to a final degree award from </w:t>
      </w:r>
      <w:r w:rsidR="005F4AA0">
        <w:rPr>
          <w:rFonts w:ascii="Calibri" w:eastAsia="Times New Roman" w:hAnsi="Calibri" w:cs="Arial"/>
          <w:lang w:val="en-AU" w:eastAsia="en-AU"/>
        </w:rPr>
        <w:t>the partner university</w:t>
      </w:r>
      <w:r w:rsidRPr="00D608EB">
        <w:rPr>
          <w:rFonts w:ascii="Calibri" w:eastAsia="Times New Roman" w:hAnsi="Calibri" w:cs="Arial"/>
          <w:lang w:val="en-AU" w:eastAsia="en-AU"/>
        </w:rPr>
        <w:t>.</w:t>
      </w:r>
      <w:r w:rsidR="005F4AA0">
        <w:rPr>
          <w:rFonts w:ascii="Calibri" w:eastAsia="Times New Roman" w:hAnsi="Calibri" w:cs="Arial"/>
          <w:lang w:val="en-AU" w:eastAsia="en-AU"/>
        </w:rPr>
        <w:t xml:space="preserve"> </w:t>
      </w:r>
      <w:r w:rsidRPr="00D608EB">
        <w:rPr>
          <w:rFonts w:ascii="Calibri" w:eastAsia="Times New Roman" w:hAnsi="Calibri" w:cs="Arial"/>
          <w:lang w:val="en-AU" w:eastAsia="en-AU"/>
        </w:rPr>
        <w:t xml:space="preserve"> It is made </w:t>
      </w:r>
      <w:r w:rsidR="005F4AA0">
        <w:rPr>
          <w:rFonts w:ascii="Calibri" w:eastAsia="Times New Roman" w:hAnsi="Calibri" w:cs="Arial"/>
          <w:lang w:val="en-AU" w:eastAsia="en-AU"/>
        </w:rPr>
        <w:t>up of stages of study;</w:t>
      </w:r>
      <w:r w:rsidRPr="00D608EB">
        <w:rPr>
          <w:rFonts w:ascii="Calibri" w:eastAsia="Times New Roman" w:hAnsi="Calibri" w:cs="Arial"/>
          <w:lang w:val="en-AU" w:eastAsia="en-AU"/>
        </w:rPr>
        <w:t xml:space="preserve"> the initial stages are delivered by the College under the</w:t>
      </w:r>
      <w:r w:rsidR="005F4AA0">
        <w:rPr>
          <w:rFonts w:ascii="Calibri" w:eastAsia="Times New Roman" w:hAnsi="Calibri" w:cs="Arial"/>
          <w:lang w:val="en-AU" w:eastAsia="en-AU"/>
        </w:rPr>
        <w:t xml:space="preserve"> terms of the</w:t>
      </w:r>
      <w:r w:rsidRPr="00D608EB">
        <w:rPr>
          <w:rFonts w:ascii="Calibri" w:eastAsia="Times New Roman" w:hAnsi="Calibri" w:cs="Arial"/>
          <w:lang w:val="en-AU" w:eastAsia="en-AU"/>
        </w:rPr>
        <w:t xml:space="preserve"> Recognition and Articulation Agreement. </w:t>
      </w:r>
    </w:p>
    <w:p w:rsidR="00D608EB" w:rsidRPr="00D608EB" w:rsidRDefault="00D608EB" w:rsidP="007603D1">
      <w:pPr>
        <w:spacing w:after="0" w:line="240" w:lineRule="auto"/>
        <w:jc w:val="both"/>
        <w:rPr>
          <w:rFonts w:eastAsia="Times New Roman" w:cs="Arial"/>
          <w:lang w:val="en-AU" w:eastAsia="en-AU"/>
        </w:rPr>
      </w:pPr>
    </w:p>
    <w:p w:rsidR="00D608EB" w:rsidRPr="00D608EB" w:rsidRDefault="00D608EB" w:rsidP="007603D1">
      <w:pPr>
        <w:spacing w:after="0" w:line="240" w:lineRule="auto"/>
        <w:jc w:val="both"/>
        <w:rPr>
          <w:rFonts w:eastAsia="Times New Roman" w:cs="Arial"/>
          <w:b/>
          <w:lang w:val="en-AU" w:eastAsia="en-AU"/>
        </w:rPr>
      </w:pPr>
      <w:r w:rsidRPr="00D608EB">
        <w:rPr>
          <w:rFonts w:eastAsia="Times New Roman" w:cs="Arial"/>
          <w:b/>
          <w:lang w:val="en-AU" w:eastAsia="en-AU"/>
        </w:rPr>
        <w:t>Programme Specification (PS)</w:t>
      </w:r>
    </w:p>
    <w:p w:rsidR="00D608EB" w:rsidRPr="00D608EB" w:rsidRDefault="00D608EB" w:rsidP="007603D1">
      <w:pPr>
        <w:spacing w:after="0" w:line="240" w:lineRule="auto"/>
        <w:jc w:val="both"/>
        <w:rPr>
          <w:rFonts w:eastAsia="Times New Roman" w:cs="Arial"/>
          <w:lang w:val="en-AU" w:eastAsia="en-AU"/>
        </w:rPr>
      </w:pPr>
      <w:r w:rsidRPr="00D608EB">
        <w:rPr>
          <w:rFonts w:eastAsia="Times New Roman" w:cs="Arial"/>
          <w:lang w:val="en-AU" w:eastAsia="en-AU"/>
        </w:rPr>
        <w:t>I</w:t>
      </w:r>
      <w:r w:rsidRPr="00D608EB">
        <w:rPr>
          <w:rFonts w:eastAsia="Times New Roman" w:cs="Arial"/>
          <w:color w:val="000000"/>
          <w:lang w:val="en-AU" w:eastAsia="en-AU"/>
        </w:rPr>
        <w:t>s</w:t>
      </w:r>
      <w:r w:rsidRPr="00D608EB">
        <w:rPr>
          <w:rFonts w:eastAsia="Times New Roman" w:cs="Times New Roman"/>
          <w:lang w:val="en-AU" w:eastAsia="en-AU"/>
        </w:rPr>
        <w:t xml:space="preserve"> a concise description of the intended learning outcomes from a higher education course, and how these outcomes can b</w:t>
      </w:r>
      <w:r w:rsidR="007603D1">
        <w:rPr>
          <w:rFonts w:eastAsia="Times New Roman" w:cs="Times New Roman"/>
          <w:lang w:val="en-AU" w:eastAsia="en-AU"/>
        </w:rPr>
        <w:t>e achieved and demonstrated.</w:t>
      </w:r>
      <w:r w:rsidR="007603D1">
        <w:rPr>
          <w:rFonts w:eastAsia="Times New Roman" w:cs="Arial"/>
          <w:lang w:val="en-AU" w:eastAsia="en-AU"/>
        </w:rPr>
        <w:t xml:space="preserve">  </w:t>
      </w:r>
      <w:r w:rsidRPr="00D608EB">
        <w:rPr>
          <w:rFonts w:eastAsia="Times New Roman" w:cs="Arial"/>
          <w:color w:val="000000"/>
          <w:lang w:val="en-AU" w:eastAsia="en-AU"/>
        </w:rPr>
        <w:t>The PS makes explicit the Learning Outcomes in terms of knowledge, skills and other attributes.</w:t>
      </w:r>
      <w:r w:rsidR="007603D1">
        <w:rPr>
          <w:rFonts w:eastAsia="Times New Roman" w:cs="Arial"/>
          <w:color w:val="000000"/>
          <w:lang w:val="en-AU" w:eastAsia="en-AU"/>
        </w:rPr>
        <w:t xml:space="preserve"> </w:t>
      </w:r>
      <w:r w:rsidRPr="00D608EB">
        <w:rPr>
          <w:rFonts w:eastAsia="Times New Roman" w:cs="Arial"/>
          <w:color w:val="000000"/>
          <w:lang w:val="en-AU" w:eastAsia="en-AU"/>
        </w:rPr>
        <w:t xml:space="preserve"> It is designed for students and other stakeholders, such as reviewers, employers and staff teaching on a stage or course of study. </w:t>
      </w:r>
      <w:r w:rsidR="007603D1">
        <w:rPr>
          <w:rFonts w:eastAsia="Times New Roman" w:cs="Arial"/>
          <w:color w:val="000000"/>
          <w:lang w:val="en-AU" w:eastAsia="en-AU"/>
        </w:rPr>
        <w:t xml:space="preserve"> </w:t>
      </w:r>
      <w:r w:rsidRPr="00D608EB">
        <w:rPr>
          <w:rFonts w:eastAsia="Times New Roman" w:cs="Arial"/>
          <w:color w:val="000000"/>
          <w:lang w:val="en-AU" w:eastAsia="en-AU"/>
        </w:rPr>
        <w:t>It may be referred to as a Course Specification.</w:t>
      </w:r>
    </w:p>
    <w:p w:rsidR="007603D1" w:rsidRPr="007603D1" w:rsidRDefault="007603D1" w:rsidP="00D608EB">
      <w:pPr>
        <w:spacing w:after="0" w:line="240" w:lineRule="auto"/>
        <w:jc w:val="both"/>
        <w:rPr>
          <w:rFonts w:ascii="Calibri" w:eastAsia="Times New Roman" w:hAnsi="Calibri" w:cs="Arial"/>
          <w:b/>
          <w:lang w:val="en-AU" w:eastAsia="en-AU"/>
        </w:rPr>
      </w:pPr>
    </w:p>
    <w:p w:rsidR="00D608EB" w:rsidRPr="00D608EB" w:rsidRDefault="00D608EB" w:rsidP="00D608EB">
      <w:pPr>
        <w:spacing w:after="0" w:line="240" w:lineRule="auto"/>
        <w:jc w:val="both"/>
        <w:rPr>
          <w:rFonts w:ascii="Calibri" w:eastAsia="Times New Roman" w:hAnsi="Calibri" w:cs="Arial"/>
          <w:lang w:val="en-AU" w:eastAsia="en-AU"/>
        </w:rPr>
      </w:pPr>
      <w:r w:rsidRPr="00D608EB">
        <w:rPr>
          <w:rFonts w:ascii="Calibri" w:eastAsia="Times New Roman" w:hAnsi="Calibri" w:cs="Arial"/>
          <w:b/>
          <w:lang w:val="en-AU" w:eastAsia="en-AU"/>
        </w:rPr>
        <w:t>Registered student</w:t>
      </w:r>
    </w:p>
    <w:p w:rsidR="00D608EB" w:rsidRPr="00D608EB" w:rsidRDefault="00D608EB" w:rsidP="00D608EB">
      <w:pPr>
        <w:spacing w:after="0" w:line="240" w:lineRule="auto"/>
        <w:jc w:val="both"/>
        <w:rPr>
          <w:rFonts w:ascii="Calibri" w:eastAsia="Times New Roman" w:hAnsi="Calibri" w:cs="Arial"/>
          <w:lang w:val="en-AU" w:eastAsia="en-AU"/>
        </w:rPr>
      </w:pPr>
      <w:r w:rsidRPr="00D608EB">
        <w:rPr>
          <w:rFonts w:ascii="Calibri" w:eastAsia="Times New Roman" w:hAnsi="Calibri" w:cs="Arial"/>
          <w:lang w:val="en-AU" w:eastAsia="en-AU"/>
        </w:rPr>
        <w:t>Each enrolled College stude</w:t>
      </w:r>
      <w:r w:rsidR="007603D1">
        <w:rPr>
          <w:rFonts w:ascii="Calibri" w:eastAsia="Times New Roman" w:hAnsi="Calibri" w:cs="Arial"/>
          <w:lang w:val="en-AU" w:eastAsia="en-AU"/>
        </w:rPr>
        <w:t>nt is also registered with the P</w:t>
      </w:r>
      <w:r w:rsidRPr="00D608EB">
        <w:rPr>
          <w:rFonts w:ascii="Calibri" w:eastAsia="Times New Roman" w:hAnsi="Calibri" w:cs="Arial"/>
          <w:lang w:val="en-AU" w:eastAsia="en-AU"/>
        </w:rPr>
        <w:t>artner Universi</w:t>
      </w:r>
      <w:r w:rsidR="007603D1">
        <w:rPr>
          <w:rFonts w:ascii="Calibri" w:eastAsia="Times New Roman" w:hAnsi="Calibri" w:cs="Arial"/>
          <w:lang w:val="en-AU" w:eastAsia="en-AU"/>
        </w:rPr>
        <w:t>ty upon commencement and thereafter</w:t>
      </w:r>
      <w:r w:rsidRPr="00D608EB">
        <w:rPr>
          <w:rFonts w:ascii="Calibri" w:eastAsia="Times New Roman" w:hAnsi="Calibri" w:cs="Arial"/>
          <w:lang w:val="en-AU" w:eastAsia="en-AU"/>
        </w:rPr>
        <w:t xml:space="preserve"> at </w:t>
      </w:r>
      <w:r w:rsidR="007603D1">
        <w:rPr>
          <w:rFonts w:ascii="Calibri" w:eastAsia="Times New Roman" w:hAnsi="Calibri" w:cs="Arial"/>
          <w:lang w:val="en-AU" w:eastAsia="en-AU"/>
        </w:rPr>
        <w:t xml:space="preserve">the start of each </w:t>
      </w:r>
      <w:r w:rsidR="00E802B3">
        <w:rPr>
          <w:rFonts w:ascii="Calibri" w:eastAsia="Times New Roman" w:hAnsi="Calibri" w:cs="Arial"/>
          <w:lang w:val="en-AU" w:eastAsia="en-AU"/>
        </w:rPr>
        <w:t xml:space="preserve">semester or </w:t>
      </w:r>
      <w:r w:rsidR="007603D1">
        <w:rPr>
          <w:rFonts w:ascii="Calibri" w:eastAsia="Times New Roman" w:hAnsi="Calibri" w:cs="Arial"/>
          <w:lang w:val="en-AU" w:eastAsia="en-AU"/>
        </w:rPr>
        <w:t>academic year</w:t>
      </w:r>
      <w:r w:rsidRPr="00D608EB">
        <w:rPr>
          <w:rFonts w:ascii="Calibri" w:eastAsia="Times New Roman" w:hAnsi="Calibri" w:cs="Arial"/>
          <w:lang w:val="en-AU" w:eastAsia="en-AU"/>
        </w:rPr>
        <w:t xml:space="preserve"> </w:t>
      </w:r>
      <w:r w:rsidR="007603D1">
        <w:rPr>
          <w:rFonts w:ascii="Calibri" w:eastAsia="Times New Roman" w:hAnsi="Calibri" w:cs="Arial"/>
          <w:lang w:val="en-AU" w:eastAsia="en-AU"/>
        </w:rPr>
        <w:t>(</w:t>
      </w:r>
      <w:r w:rsidRPr="00D608EB">
        <w:rPr>
          <w:rFonts w:ascii="Calibri" w:eastAsia="Times New Roman" w:hAnsi="Calibri" w:cs="Arial"/>
          <w:lang w:val="en-AU" w:eastAsia="en-AU"/>
        </w:rPr>
        <w:t>see Enrolled student</w:t>
      </w:r>
      <w:r w:rsidR="007603D1">
        <w:rPr>
          <w:rFonts w:ascii="Calibri" w:eastAsia="Times New Roman" w:hAnsi="Calibri" w:cs="Arial"/>
          <w:lang w:val="en-AU" w:eastAsia="en-AU"/>
        </w:rPr>
        <w:t>)</w:t>
      </w:r>
      <w:r w:rsidRPr="00D608EB">
        <w:rPr>
          <w:rFonts w:ascii="Calibri" w:eastAsia="Times New Roman" w:hAnsi="Calibri" w:cs="Arial"/>
          <w:lang w:val="en-AU" w:eastAsia="en-AU"/>
        </w:rPr>
        <w:t xml:space="preserve">. </w:t>
      </w:r>
    </w:p>
    <w:p w:rsidR="00D608EB" w:rsidRPr="00D608EB" w:rsidRDefault="00D608EB" w:rsidP="00D608EB">
      <w:pPr>
        <w:spacing w:after="0" w:line="240" w:lineRule="auto"/>
        <w:jc w:val="both"/>
        <w:rPr>
          <w:rFonts w:ascii="Calibri" w:eastAsia="Times New Roman" w:hAnsi="Calibri" w:cs="Arial"/>
          <w:b/>
          <w:lang w:val="en-AU" w:eastAsia="en-AU"/>
        </w:rPr>
      </w:pPr>
    </w:p>
    <w:p w:rsidR="00D608EB" w:rsidRPr="00D608EB" w:rsidRDefault="00D608EB" w:rsidP="00D608EB">
      <w:pPr>
        <w:spacing w:after="0" w:line="240" w:lineRule="auto"/>
        <w:jc w:val="both"/>
        <w:rPr>
          <w:rFonts w:ascii="Calibri" w:eastAsia="Times New Roman" w:hAnsi="Calibri" w:cs="Arial"/>
          <w:lang w:val="en-AU" w:eastAsia="en-AU"/>
        </w:rPr>
      </w:pPr>
      <w:r w:rsidRPr="00D608EB">
        <w:rPr>
          <w:rFonts w:ascii="Calibri" w:eastAsia="Times New Roman" w:hAnsi="Calibri" w:cs="Arial"/>
          <w:b/>
          <w:lang w:val="en-AU" w:eastAsia="en-AU"/>
        </w:rPr>
        <w:t>Semester</w:t>
      </w:r>
    </w:p>
    <w:p w:rsidR="00D608EB" w:rsidRPr="00D608EB" w:rsidRDefault="00D608EB" w:rsidP="00D608EB">
      <w:pPr>
        <w:spacing w:after="0" w:line="240" w:lineRule="auto"/>
        <w:jc w:val="both"/>
        <w:rPr>
          <w:rFonts w:ascii="Calibri" w:eastAsia="Times New Roman" w:hAnsi="Calibri" w:cs="Arial"/>
          <w:lang w:val="en-AU" w:eastAsia="en-AU"/>
        </w:rPr>
      </w:pPr>
      <w:r w:rsidRPr="00D608EB">
        <w:rPr>
          <w:rFonts w:ascii="Calibri" w:eastAsia="Times New Roman" w:hAnsi="Calibri" w:cs="Arial"/>
          <w:lang w:val="en-AU" w:eastAsia="en-AU"/>
        </w:rPr>
        <w:t>The academic session is divided for the purpose of student contact</w:t>
      </w:r>
      <w:r w:rsidR="00FE7009">
        <w:rPr>
          <w:rFonts w:ascii="Calibri" w:eastAsia="Times New Roman" w:hAnsi="Calibri" w:cs="Arial"/>
          <w:lang w:val="en-AU" w:eastAsia="en-AU"/>
        </w:rPr>
        <w:t>, including orientation,</w:t>
      </w:r>
      <w:r w:rsidRPr="00D608EB">
        <w:rPr>
          <w:rFonts w:ascii="Calibri" w:eastAsia="Times New Roman" w:hAnsi="Calibri" w:cs="Arial"/>
          <w:lang w:val="en-AU" w:eastAsia="en-AU"/>
        </w:rPr>
        <w:t xml:space="preserve"> delivery of courses/modules and assessment</w:t>
      </w:r>
      <w:r w:rsidR="00FE7009">
        <w:rPr>
          <w:rFonts w:ascii="Calibri" w:eastAsia="Times New Roman" w:hAnsi="Calibri" w:cs="Arial"/>
          <w:lang w:val="en-AU" w:eastAsia="en-AU"/>
        </w:rPr>
        <w:t>,</w:t>
      </w:r>
      <w:r w:rsidRPr="00D608EB">
        <w:rPr>
          <w:rFonts w:ascii="Calibri" w:eastAsia="Times New Roman" w:hAnsi="Calibri" w:cs="Arial"/>
          <w:lang w:val="en-AU" w:eastAsia="en-AU"/>
        </w:rPr>
        <w:t xml:space="preserve"> into semesters on the basis of an agreed common College calendar.  The College normally operates on three intake points per annum. </w:t>
      </w:r>
    </w:p>
    <w:p w:rsidR="00D608EB" w:rsidRPr="00D608EB" w:rsidRDefault="00D608EB" w:rsidP="00D608EB">
      <w:pPr>
        <w:spacing w:after="0" w:line="240" w:lineRule="auto"/>
        <w:ind w:left="2160" w:hanging="2160"/>
        <w:jc w:val="both"/>
        <w:rPr>
          <w:rFonts w:ascii="Calibri" w:eastAsia="Times New Roman" w:hAnsi="Calibri" w:cs="Arial"/>
          <w:color w:val="000000"/>
          <w:lang w:val="en-AU" w:eastAsia="en-AU"/>
        </w:rPr>
      </w:pPr>
    </w:p>
    <w:p w:rsidR="00D608EB" w:rsidRPr="00D608EB" w:rsidRDefault="007603D1" w:rsidP="00D608EB">
      <w:pPr>
        <w:spacing w:after="0" w:line="240" w:lineRule="auto"/>
        <w:jc w:val="both"/>
        <w:rPr>
          <w:rFonts w:ascii="Calibri" w:eastAsia="Times New Roman" w:hAnsi="Calibri" w:cs="Arial"/>
          <w:b/>
          <w:lang w:val="en-AU" w:eastAsia="en-AU"/>
        </w:rPr>
      </w:pPr>
      <w:r>
        <w:rPr>
          <w:rFonts w:ascii="Calibri" w:eastAsia="Times New Roman" w:hAnsi="Calibri" w:cs="Arial"/>
          <w:b/>
          <w:lang w:val="en-AU" w:eastAsia="en-AU"/>
        </w:rPr>
        <w:t>Stage</w:t>
      </w:r>
    </w:p>
    <w:p w:rsidR="00D608EB" w:rsidRPr="00D608EB" w:rsidRDefault="00FE7009" w:rsidP="007603D1">
      <w:pPr>
        <w:spacing w:after="0" w:line="240" w:lineRule="auto"/>
        <w:jc w:val="both"/>
        <w:rPr>
          <w:rFonts w:ascii="Calibri" w:eastAsia="Times New Roman" w:hAnsi="Calibri" w:cs="Arial"/>
          <w:lang w:val="en-AU" w:eastAsia="en-AU"/>
        </w:rPr>
      </w:pPr>
      <w:r>
        <w:rPr>
          <w:rFonts w:ascii="Calibri" w:eastAsia="Times New Roman" w:hAnsi="Calibri" w:cs="Arial"/>
          <w:lang w:val="en-AU" w:eastAsia="en-AU"/>
        </w:rPr>
        <w:t>Each Pathway is made up of a series of Stages.  These are</w:t>
      </w:r>
      <w:r w:rsidR="00D608EB" w:rsidRPr="00D608EB">
        <w:rPr>
          <w:rFonts w:ascii="Calibri" w:eastAsia="Times New Roman" w:hAnsi="Calibri" w:cs="Arial"/>
          <w:lang w:val="en-AU" w:eastAsia="en-AU"/>
        </w:rPr>
        <w:t xml:space="preserve"> defined by a set of core modules which are administered together for the purpose of leading to a designated set of normal progression criteria at a specified level/stage of study.</w:t>
      </w:r>
      <w:r w:rsidR="007603D1">
        <w:rPr>
          <w:rFonts w:ascii="Calibri" w:eastAsia="Times New Roman" w:hAnsi="Calibri" w:cs="Arial"/>
          <w:lang w:val="en-AU" w:eastAsia="en-AU"/>
        </w:rPr>
        <w:t xml:space="preserve"> </w:t>
      </w:r>
      <w:r w:rsidR="00D608EB" w:rsidRPr="00D608EB">
        <w:rPr>
          <w:rFonts w:ascii="Calibri" w:eastAsia="Times New Roman" w:hAnsi="Calibri" w:cs="Arial"/>
          <w:lang w:val="en-AU" w:eastAsia="en-AU"/>
        </w:rPr>
        <w:t xml:space="preserve"> Each stage is bound by the regulations as laid out in the relevant </w:t>
      </w:r>
      <w:r>
        <w:rPr>
          <w:rFonts w:ascii="Calibri" w:eastAsia="Times New Roman" w:hAnsi="Calibri" w:cs="Arial"/>
          <w:lang w:val="en-AU" w:eastAsia="en-AU"/>
        </w:rPr>
        <w:t>Programme</w:t>
      </w:r>
      <w:r w:rsidR="00D608EB" w:rsidRPr="00D608EB">
        <w:rPr>
          <w:rFonts w:ascii="Calibri" w:eastAsia="Times New Roman" w:hAnsi="Calibri" w:cs="Arial"/>
          <w:lang w:val="en-AU" w:eastAsia="en-AU"/>
        </w:rPr>
        <w:t xml:space="preserve"> Specification.</w:t>
      </w:r>
      <w:r w:rsidR="007603D1">
        <w:rPr>
          <w:rFonts w:ascii="Calibri" w:eastAsia="Times New Roman" w:hAnsi="Calibri" w:cs="Arial"/>
          <w:lang w:val="en-AU" w:eastAsia="en-AU"/>
        </w:rPr>
        <w:t xml:space="preserve">  </w:t>
      </w:r>
      <w:r w:rsidR="00D608EB" w:rsidRPr="00D608EB">
        <w:rPr>
          <w:rFonts w:ascii="Calibri" w:eastAsia="Times New Roman" w:hAnsi="Calibri" w:cs="Arial"/>
          <w:lang w:val="en-AU" w:eastAsia="en-AU"/>
        </w:rPr>
        <w:t>Note: the MAZE</w:t>
      </w:r>
      <w:r w:rsidR="00E01F2E">
        <w:rPr>
          <w:rFonts w:ascii="Calibri" w:eastAsia="Times New Roman" w:hAnsi="Calibri" w:cs="Arial"/>
          <w:lang w:val="en-AU" w:eastAsia="en-AU"/>
        </w:rPr>
        <w:t>/Navigate</w:t>
      </w:r>
      <w:r w:rsidR="00D608EB" w:rsidRPr="00D608EB">
        <w:rPr>
          <w:rFonts w:ascii="Calibri" w:eastAsia="Times New Roman" w:hAnsi="Calibri" w:cs="Arial"/>
          <w:lang w:val="en-AU" w:eastAsia="en-AU"/>
        </w:rPr>
        <w:t xml:space="preserve"> term for stage is ‘course’.  </w:t>
      </w:r>
    </w:p>
    <w:p w:rsidR="00D608EB" w:rsidRPr="00D608EB" w:rsidRDefault="00D608EB" w:rsidP="00D608EB">
      <w:pPr>
        <w:spacing w:after="0" w:line="240" w:lineRule="auto"/>
        <w:jc w:val="both"/>
        <w:rPr>
          <w:rFonts w:ascii="Calibri" w:eastAsia="Times New Roman" w:hAnsi="Calibri" w:cs="Arial"/>
          <w:sz w:val="20"/>
          <w:szCs w:val="20"/>
          <w:lang w:val="en-AU" w:eastAsia="en-AU"/>
        </w:rPr>
      </w:pPr>
    </w:p>
    <w:p w:rsidR="00D608EB" w:rsidRDefault="00D608EB">
      <w:pPr>
        <w:rPr>
          <w:b/>
        </w:rPr>
      </w:pPr>
      <w:r>
        <w:rPr>
          <w:b/>
        </w:rPr>
        <w:br w:type="page"/>
      </w:r>
    </w:p>
    <w:p w:rsidR="00E913F9" w:rsidRPr="00E913F9" w:rsidRDefault="00D61360" w:rsidP="00D61360">
      <w:pPr>
        <w:spacing w:after="0" w:line="240" w:lineRule="auto"/>
        <w:ind w:left="567" w:hanging="567"/>
        <w:jc w:val="both"/>
        <w:rPr>
          <w:b/>
        </w:rPr>
      </w:pPr>
      <w:r>
        <w:rPr>
          <w:b/>
        </w:rPr>
        <w:lastRenderedPageBreak/>
        <w:t>1.</w:t>
      </w:r>
      <w:r>
        <w:rPr>
          <w:b/>
        </w:rPr>
        <w:tab/>
      </w:r>
      <w:r w:rsidR="00625C83">
        <w:rPr>
          <w:b/>
        </w:rPr>
        <w:t>OVERVIEW</w:t>
      </w:r>
    </w:p>
    <w:p w:rsidR="00E913F9" w:rsidRDefault="00E913F9" w:rsidP="00A3510B">
      <w:pPr>
        <w:spacing w:after="0" w:line="240" w:lineRule="auto"/>
        <w:jc w:val="both"/>
      </w:pPr>
    </w:p>
    <w:p w:rsidR="0074794A" w:rsidRPr="00625C83" w:rsidRDefault="0074794A" w:rsidP="00BB5641">
      <w:pPr>
        <w:pStyle w:val="ListParagraph"/>
        <w:numPr>
          <w:ilvl w:val="1"/>
          <w:numId w:val="16"/>
        </w:numPr>
        <w:ind w:left="567" w:hanging="567"/>
        <w:jc w:val="both"/>
        <w:rPr>
          <w:rFonts w:asciiTheme="minorHAnsi" w:hAnsiTheme="minorHAnsi"/>
          <w:b/>
          <w:sz w:val="22"/>
          <w:szCs w:val="22"/>
        </w:rPr>
      </w:pPr>
      <w:r w:rsidRPr="00625C83">
        <w:rPr>
          <w:rFonts w:asciiTheme="minorHAnsi" w:hAnsiTheme="minorHAnsi"/>
          <w:b/>
          <w:sz w:val="22"/>
          <w:szCs w:val="22"/>
        </w:rPr>
        <w:t>Context</w:t>
      </w:r>
    </w:p>
    <w:p w:rsidR="00625C83" w:rsidRDefault="00625C83" w:rsidP="0062316F">
      <w:pPr>
        <w:spacing w:after="0" w:line="240" w:lineRule="auto"/>
        <w:ind w:left="567"/>
        <w:jc w:val="both"/>
      </w:pPr>
    </w:p>
    <w:p w:rsidR="0074794A" w:rsidRDefault="0074794A" w:rsidP="0062316F">
      <w:pPr>
        <w:spacing w:after="0" w:line="240" w:lineRule="auto"/>
        <w:ind w:left="567"/>
        <w:jc w:val="both"/>
      </w:pPr>
      <w:r>
        <w:t xml:space="preserve">Navitas University Programmes Division UK is part of a larger group, </w:t>
      </w:r>
      <w:r w:rsidR="00E01F2E">
        <w:t xml:space="preserve">University Programmes Division </w:t>
      </w:r>
      <w:r>
        <w:t xml:space="preserve">Navitas Limited, </w:t>
      </w:r>
      <w:r w:rsidR="00DF3B5D">
        <w:t>based</w:t>
      </w:r>
      <w:r>
        <w:t xml:space="preserve"> in Australia.  Navitas Limited operates glo</w:t>
      </w:r>
      <w:r w:rsidR="00DF3B5D">
        <w:t>bally with a focus on education.  I</w:t>
      </w:r>
      <w:r>
        <w:t xml:space="preserve">ts mission states that:  “Navitas is passionate about creating opportunities through lifelong learning and being a global leader in delivering better learning solutions”.  The company has been listed on the Australian Securities Exchange since 2004.  Throughout this document the Navitas University </w:t>
      </w:r>
      <w:r w:rsidR="003018EA">
        <w:t xml:space="preserve">Pathways Europe </w:t>
      </w:r>
      <w:r>
        <w:t>Division is referred to as ‘</w:t>
      </w:r>
      <w:r w:rsidR="009731DE">
        <w:t>Navitas UPE</w:t>
      </w:r>
      <w:r>
        <w:t>’.</w:t>
      </w:r>
    </w:p>
    <w:p w:rsidR="0074794A" w:rsidRDefault="0074794A" w:rsidP="0062316F">
      <w:pPr>
        <w:spacing w:after="0" w:line="240" w:lineRule="auto"/>
        <w:ind w:left="567"/>
        <w:jc w:val="both"/>
      </w:pPr>
    </w:p>
    <w:p w:rsidR="0074794A" w:rsidRDefault="0074794A" w:rsidP="0062316F">
      <w:pPr>
        <w:spacing w:after="0" w:line="240" w:lineRule="auto"/>
        <w:ind w:left="567"/>
        <w:jc w:val="both"/>
      </w:pPr>
      <w:r>
        <w:t xml:space="preserve">The core of </w:t>
      </w:r>
      <w:r w:rsidR="009E6B77">
        <w:t>Navitas’</w:t>
      </w:r>
      <w:r>
        <w:t xml:space="preserve"> business is to provide alternative routes to university degrees predominantly for international students.  It does this by offering pathways spanning Navitas provision and university provision so as to provide a seamless study experience and progression leading to a university degree.  Working in close partnership with universities, Navitas establishes colleges on university campuses </w:t>
      </w:r>
      <w:r w:rsidR="00FE7009">
        <w:t xml:space="preserve">each of </w:t>
      </w:r>
      <w:r>
        <w:t>which operate</w:t>
      </w:r>
      <w:r w:rsidR="00FE7009">
        <w:t>s</w:t>
      </w:r>
      <w:r>
        <w:t xml:space="preserve"> collaborative</w:t>
      </w:r>
      <w:r w:rsidR="009E6B77">
        <w:t>ly</w:t>
      </w:r>
      <w:r>
        <w:t xml:space="preserve"> </w:t>
      </w:r>
      <w:r w:rsidR="009E6B77">
        <w:t xml:space="preserve">with </w:t>
      </w:r>
      <w:r w:rsidR="00FE7009">
        <w:t>its</w:t>
      </w:r>
      <w:r>
        <w:t xml:space="preserve"> partner university.  </w:t>
      </w:r>
    </w:p>
    <w:p w:rsidR="0062316F" w:rsidRDefault="0062316F" w:rsidP="0062316F">
      <w:pPr>
        <w:spacing w:after="0" w:line="240" w:lineRule="auto"/>
        <w:ind w:left="567"/>
        <w:jc w:val="both"/>
      </w:pPr>
    </w:p>
    <w:p w:rsidR="009E6B77" w:rsidRPr="009E6B77" w:rsidRDefault="009E6B77" w:rsidP="009E6B77">
      <w:pPr>
        <w:tabs>
          <w:tab w:val="left" w:pos="851"/>
        </w:tabs>
        <w:spacing w:after="0" w:line="240" w:lineRule="auto"/>
        <w:ind w:left="567"/>
        <w:contextualSpacing/>
        <w:jc w:val="both"/>
        <w:rPr>
          <w:rFonts w:eastAsia="Times New Roman" w:cs="Arial"/>
        </w:rPr>
      </w:pPr>
      <w:r w:rsidRPr="009E6B77">
        <w:rPr>
          <w:rFonts w:eastAsia="Times New Roman" w:cs="Times New Roman"/>
          <w:szCs w:val="24"/>
        </w:rPr>
        <w:t xml:space="preserve">In line with the UK </w:t>
      </w:r>
      <w:r w:rsidR="00E802B3">
        <w:rPr>
          <w:rFonts w:eastAsia="Times New Roman" w:cs="Times New Roman"/>
          <w:szCs w:val="24"/>
        </w:rPr>
        <w:t xml:space="preserve">Home Office </w:t>
      </w:r>
      <w:r w:rsidRPr="009E6B77">
        <w:rPr>
          <w:rFonts w:eastAsia="Times New Roman" w:cs="Times New Roman"/>
          <w:szCs w:val="24"/>
        </w:rPr>
        <w:t xml:space="preserve">Border Agency’s understanding of Navitas partnerships, each college is listed as a ‘partner institution’ on </w:t>
      </w:r>
      <w:r w:rsidR="00FE7009">
        <w:rPr>
          <w:rFonts w:eastAsia="Times New Roman" w:cs="Times New Roman"/>
          <w:szCs w:val="24"/>
        </w:rPr>
        <w:t>the</w:t>
      </w:r>
      <w:r w:rsidRPr="009E6B77">
        <w:rPr>
          <w:rFonts w:eastAsia="Times New Roman" w:cs="Times New Roman"/>
          <w:szCs w:val="24"/>
        </w:rPr>
        <w:t xml:space="preserve"> partner university’s sponsor licence for purposes of assigning Confirmation of Acceptance for Studies (CAS).  </w:t>
      </w:r>
      <w:r>
        <w:rPr>
          <w:rFonts w:eastAsia="Times New Roman" w:cs="Times New Roman"/>
          <w:szCs w:val="24"/>
        </w:rPr>
        <w:t xml:space="preserve">All </w:t>
      </w:r>
      <w:r w:rsidR="00E01F2E">
        <w:rPr>
          <w:rFonts w:eastAsia="Times New Roman" w:cs="Times New Roman"/>
          <w:szCs w:val="24"/>
        </w:rPr>
        <w:t xml:space="preserve">but three </w:t>
      </w:r>
      <w:r>
        <w:rPr>
          <w:rFonts w:eastAsia="Times New Roman" w:cs="Times New Roman"/>
          <w:szCs w:val="24"/>
        </w:rPr>
        <w:t>c</w:t>
      </w:r>
      <w:r w:rsidRPr="009E6B77">
        <w:rPr>
          <w:rFonts w:eastAsia="Times New Roman" w:cs="Times New Roman"/>
          <w:szCs w:val="24"/>
        </w:rPr>
        <w:t xml:space="preserve">olleges also hold </w:t>
      </w:r>
      <w:r>
        <w:rPr>
          <w:rFonts w:eastAsia="Times New Roman" w:cs="Times New Roman"/>
          <w:szCs w:val="24"/>
        </w:rPr>
        <w:t>Highly Trusted S</w:t>
      </w:r>
      <w:r w:rsidRPr="009E6B77">
        <w:rPr>
          <w:rFonts w:eastAsia="Times New Roman" w:cs="Times New Roman"/>
          <w:szCs w:val="24"/>
        </w:rPr>
        <w:t xml:space="preserve">ponsor </w:t>
      </w:r>
      <w:r>
        <w:rPr>
          <w:rFonts w:eastAsia="Times New Roman" w:cs="Times New Roman"/>
          <w:szCs w:val="24"/>
        </w:rPr>
        <w:t>status in their own right as part of a risk</w:t>
      </w:r>
      <w:r w:rsidRPr="009E6B77">
        <w:rPr>
          <w:rFonts w:eastAsia="Times New Roman" w:cs="Times New Roman"/>
          <w:szCs w:val="24"/>
        </w:rPr>
        <w:t>-managed approach to student recruitment.</w:t>
      </w:r>
    </w:p>
    <w:p w:rsidR="009E6B77" w:rsidRDefault="009E6B77" w:rsidP="0062316F">
      <w:pPr>
        <w:spacing w:after="0" w:line="240" w:lineRule="auto"/>
        <w:ind w:left="567"/>
        <w:jc w:val="both"/>
      </w:pPr>
    </w:p>
    <w:p w:rsidR="003962AC" w:rsidRPr="00625C83" w:rsidRDefault="00F13BE4" w:rsidP="00BB5641">
      <w:pPr>
        <w:pStyle w:val="ListParagraph"/>
        <w:numPr>
          <w:ilvl w:val="1"/>
          <w:numId w:val="16"/>
        </w:numPr>
        <w:ind w:left="567" w:hanging="567"/>
        <w:jc w:val="both"/>
        <w:rPr>
          <w:rFonts w:asciiTheme="minorHAnsi" w:hAnsiTheme="minorHAnsi"/>
          <w:b/>
          <w:sz w:val="22"/>
          <w:szCs w:val="22"/>
        </w:rPr>
      </w:pPr>
      <w:r w:rsidRPr="00625C83">
        <w:rPr>
          <w:rFonts w:asciiTheme="minorHAnsi" w:hAnsiTheme="minorHAnsi"/>
          <w:b/>
          <w:sz w:val="22"/>
          <w:szCs w:val="22"/>
        </w:rPr>
        <w:t>Scope</w:t>
      </w:r>
    </w:p>
    <w:p w:rsidR="003962AC" w:rsidRDefault="003962AC" w:rsidP="003962AC">
      <w:pPr>
        <w:spacing w:after="0" w:line="240" w:lineRule="auto"/>
        <w:ind w:left="567"/>
        <w:jc w:val="both"/>
      </w:pPr>
    </w:p>
    <w:p w:rsidR="003031C8" w:rsidRDefault="003962AC" w:rsidP="003962AC">
      <w:pPr>
        <w:spacing w:after="0" w:line="240" w:lineRule="auto"/>
        <w:ind w:left="567"/>
        <w:jc w:val="both"/>
      </w:pPr>
      <w:r w:rsidRPr="003962AC">
        <w:t>This</w:t>
      </w:r>
      <w:r w:rsidR="00A12C5B" w:rsidRPr="003962AC">
        <w:t xml:space="preserve"> Quality</w:t>
      </w:r>
      <w:r w:rsidR="001B45C3">
        <w:t xml:space="preserve"> Manual</w:t>
      </w:r>
      <w:r w:rsidR="0045682E" w:rsidRPr="003962AC">
        <w:t xml:space="preserve"> sets out the </w:t>
      </w:r>
      <w:r w:rsidR="000E20D2" w:rsidRPr="003962AC">
        <w:t xml:space="preserve">framework </w:t>
      </w:r>
      <w:r w:rsidR="00387800" w:rsidRPr="003962AC">
        <w:t>through which the Academic Quality and Standards of</w:t>
      </w:r>
      <w:r w:rsidR="00EE018D" w:rsidRPr="003962AC">
        <w:t xml:space="preserve"> the provision of </w:t>
      </w:r>
      <w:r w:rsidR="009731DE">
        <w:t>Navitas UPE</w:t>
      </w:r>
      <w:r w:rsidR="00CC0409" w:rsidRPr="003962AC">
        <w:t xml:space="preserve"> College</w:t>
      </w:r>
      <w:r w:rsidR="00387800" w:rsidRPr="003962AC">
        <w:t>s</w:t>
      </w:r>
      <w:r w:rsidR="00CC0409" w:rsidRPr="003962AC">
        <w:t xml:space="preserve"> </w:t>
      </w:r>
      <w:r w:rsidR="009110CB" w:rsidRPr="003962AC">
        <w:t>are assur</w:t>
      </w:r>
      <w:r w:rsidRPr="003962AC">
        <w:t xml:space="preserve">ed. </w:t>
      </w:r>
      <w:r w:rsidR="009110CB" w:rsidRPr="003962AC">
        <w:t xml:space="preserve"> </w:t>
      </w:r>
      <w:r w:rsidR="00387800" w:rsidRPr="003962AC">
        <w:t xml:space="preserve">The Manual takes into account </w:t>
      </w:r>
      <w:r w:rsidR="000E6C09" w:rsidRPr="003962AC">
        <w:t>relevant</w:t>
      </w:r>
      <w:r w:rsidR="00675FF0" w:rsidRPr="003962AC">
        <w:t xml:space="preserve"> </w:t>
      </w:r>
      <w:r w:rsidR="00387800" w:rsidRPr="003962AC">
        <w:t>chapters of the QAA Quality Code</w:t>
      </w:r>
      <w:r w:rsidR="00675FF0" w:rsidRPr="003962AC">
        <w:t xml:space="preserve">, </w:t>
      </w:r>
      <w:r w:rsidR="009110CB" w:rsidRPr="003962AC">
        <w:t>and</w:t>
      </w:r>
      <w:r w:rsidR="00EE018D" w:rsidRPr="003962AC">
        <w:t xml:space="preserve"> </w:t>
      </w:r>
      <w:r w:rsidR="007C6E1E" w:rsidRPr="003962AC">
        <w:t xml:space="preserve">provides a source of </w:t>
      </w:r>
      <w:r w:rsidR="009110CB" w:rsidRPr="003962AC">
        <w:t>reference</w:t>
      </w:r>
      <w:r w:rsidR="007C6E1E" w:rsidRPr="003962AC">
        <w:t xml:space="preserve"> </w:t>
      </w:r>
      <w:r w:rsidR="009110CB" w:rsidRPr="003962AC">
        <w:t>on</w:t>
      </w:r>
      <w:r w:rsidR="007C6E1E" w:rsidRPr="003962AC">
        <w:t xml:space="preserve"> </w:t>
      </w:r>
      <w:r w:rsidR="00CC0409" w:rsidRPr="003962AC">
        <w:t xml:space="preserve">policies, </w:t>
      </w:r>
      <w:r w:rsidR="000E20D2" w:rsidRPr="003962AC">
        <w:t>regulations and associated documents</w:t>
      </w:r>
      <w:r w:rsidR="007C6E1E" w:rsidRPr="003962AC">
        <w:t xml:space="preserve"> </w:t>
      </w:r>
      <w:r w:rsidR="009110CB" w:rsidRPr="003962AC">
        <w:t>f</w:t>
      </w:r>
      <w:r w:rsidR="00ED5BB3">
        <w:t>or all stakeholders including staff, students, u</w:t>
      </w:r>
      <w:r w:rsidR="009110CB" w:rsidRPr="003962AC">
        <w:t>niversity partners and external reviewers.</w:t>
      </w:r>
      <w:r w:rsidRPr="003962AC">
        <w:t xml:space="preserve"> </w:t>
      </w:r>
      <w:r w:rsidR="00812FAB" w:rsidRPr="003962AC">
        <w:t xml:space="preserve"> </w:t>
      </w:r>
    </w:p>
    <w:p w:rsidR="003031C8" w:rsidRDefault="003031C8" w:rsidP="003962AC">
      <w:pPr>
        <w:spacing w:after="0" w:line="240" w:lineRule="auto"/>
        <w:ind w:left="567"/>
        <w:jc w:val="both"/>
      </w:pPr>
    </w:p>
    <w:p w:rsidR="009708EF" w:rsidRDefault="00E64770" w:rsidP="009708EF">
      <w:pPr>
        <w:spacing w:after="0" w:line="240" w:lineRule="auto"/>
        <w:ind w:left="567"/>
        <w:jc w:val="both"/>
      </w:pPr>
      <w:r>
        <w:t xml:space="preserve">The manual sets out the guiding principles, and detailed policies and procedures through which </w:t>
      </w:r>
      <w:r w:rsidR="009708EF">
        <w:t>Navitas ensures a high quality of pr</w:t>
      </w:r>
      <w:r w:rsidR="00ED5BB3">
        <w:t>ovision at each of its c</w:t>
      </w:r>
      <w:r>
        <w:t>olleges.  These are</w:t>
      </w:r>
      <w:r w:rsidR="009708EF">
        <w:t>:</w:t>
      </w:r>
    </w:p>
    <w:p w:rsidR="00E64770" w:rsidRDefault="00E64770" w:rsidP="00ED5BB3">
      <w:pPr>
        <w:pStyle w:val="ListParagraph"/>
        <w:numPr>
          <w:ilvl w:val="0"/>
          <w:numId w:val="43"/>
        </w:numPr>
        <w:jc w:val="both"/>
        <w:rPr>
          <w:rFonts w:asciiTheme="minorHAnsi" w:hAnsiTheme="minorHAnsi"/>
          <w:sz w:val="22"/>
          <w:szCs w:val="22"/>
        </w:rPr>
      </w:pPr>
      <w:r>
        <w:rPr>
          <w:rFonts w:asciiTheme="minorHAnsi" w:hAnsiTheme="minorHAnsi"/>
          <w:sz w:val="22"/>
          <w:szCs w:val="22"/>
        </w:rPr>
        <w:t xml:space="preserve">a central vision, set of general educational aims, </w:t>
      </w:r>
      <w:r w:rsidR="001B45C3">
        <w:rPr>
          <w:rFonts w:asciiTheme="minorHAnsi" w:hAnsiTheme="minorHAnsi"/>
          <w:sz w:val="22"/>
          <w:szCs w:val="22"/>
        </w:rPr>
        <w:t xml:space="preserve">and </w:t>
      </w:r>
      <w:r>
        <w:rPr>
          <w:rFonts w:asciiTheme="minorHAnsi" w:hAnsiTheme="minorHAnsi"/>
          <w:sz w:val="22"/>
          <w:szCs w:val="22"/>
        </w:rPr>
        <w:t>curriculum structures;</w:t>
      </w:r>
    </w:p>
    <w:p w:rsidR="009708EF" w:rsidRDefault="009708EF" w:rsidP="00ED5BB3">
      <w:pPr>
        <w:pStyle w:val="ListParagraph"/>
        <w:numPr>
          <w:ilvl w:val="0"/>
          <w:numId w:val="43"/>
        </w:numPr>
        <w:jc w:val="both"/>
        <w:rPr>
          <w:rFonts w:asciiTheme="minorHAnsi" w:hAnsiTheme="minorHAnsi"/>
          <w:sz w:val="22"/>
          <w:szCs w:val="22"/>
        </w:rPr>
      </w:pPr>
      <w:r>
        <w:rPr>
          <w:rFonts w:asciiTheme="minorHAnsi" w:hAnsiTheme="minorHAnsi"/>
          <w:sz w:val="22"/>
          <w:szCs w:val="22"/>
        </w:rPr>
        <w:t>a robust governance structure incorporating the three parties: Navitas, the College and the Partner University;</w:t>
      </w:r>
    </w:p>
    <w:p w:rsidR="009708EF" w:rsidRDefault="009708EF" w:rsidP="00ED5BB3">
      <w:pPr>
        <w:pStyle w:val="ListParagraph"/>
        <w:numPr>
          <w:ilvl w:val="0"/>
          <w:numId w:val="43"/>
        </w:numPr>
        <w:jc w:val="both"/>
        <w:rPr>
          <w:rFonts w:asciiTheme="minorHAnsi" w:hAnsiTheme="minorHAnsi"/>
          <w:sz w:val="22"/>
          <w:szCs w:val="22"/>
        </w:rPr>
      </w:pPr>
      <w:r>
        <w:rPr>
          <w:rFonts w:asciiTheme="minorHAnsi" w:hAnsiTheme="minorHAnsi"/>
          <w:sz w:val="22"/>
          <w:szCs w:val="22"/>
        </w:rPr>
        <w:t>a set of Navitas</w:t>
      </w:r>
      <w:r w:rsidR="00ED5BB3">
        <w:rPr>
          <w:rFonts w:asciiTheme="minorHAnsi" w:hAnsiTheme="minorHAnsi"/>
          <w:sz w:val="22"/>
          <w:szCs w:val="22"/>
        </w:rPr>
        <w:t xml:space="preserve"> Policies and Regulations</w:t>
      </w:r>
      <w:r>
        <w:rPr>
          <w:rFonts w:asciiTheme="minorHAnsi" w:hAnsiTheme="minorHAnsi"/>
          <w:sz w:val="22"/>
          <w:szCs w:val="22"/>
        </w:rPr>
        <w:t xml:space="preserve"> covering</w:t>
      </w:r>
      <w:r w:rsidR="00812FAB" w:rsidRPr="009708EF">
        <w:rPr>
          <w:rFonts w:asciiTheme="minorHAnsi" w:hAnsiTheme="minorHAnsi"/>
          <w:sz w:val="22"/>
          <w:szCs w:val="22"/>
        </w:rPr>
        <w:t xml:space="preserve"> all aspects of policy, processes and systems pertaining to </w:t>
      </w:r>
      <w:r>
        <w:rPr>
          <w:rFonts w:asciiTheme="minorHAnsi" w:hAnsiTheme="minorHAnsi"/>
          <w:sz w:val="22"/>
          <w:szCs w:val="22"/>
        </w:rPr>
        <w:t>programme approval and review,</w:t>
      </w:r>
      <w:r w:rsidRPr="009708EF">
        <w:rPr>
          <w:rFonts w:asciiTheme="minorHAnsi" w:hAnsiTheme="minorHAnsi"/>
          <w:sz w:val="22"/>
          <w:szCs w:val="22"/>
        </w:rPr>
        <w:t xml:space="preserve"> </w:t>
      </w:r>
      <w:r>
        <w:rPr>
          <w:rFonts w:asciiTheme="minorHAnsi" w:hAnsiTheme="minorHAnsi"/>
          <w:sz w:val="22"/>
          <w:szCs w:val="22"/>
        </w:rPr>
        <w:t xml:space="preserve">recruitment and admission, </w:t>
      </w:r>
      <w:r w:rsidR="00812FAB" w:rsidRPr="009708EF">
        <w:rPr>
          <w:rFonts w:asciiTheme="minorHAnsi" w:hAnsiTheme="minorHAnsi"/>
          <w:sz w:val="22"/>
          <w:szCs w:val="22"/>
        </w:rPr>
        <w:t>learning teaching</w:t>
      </w:r>
      <w:r w:rsidR="001B45C3">
        <w:rPr>
          <w:rFonts w:asciiTheme="minorHAnsi" w:hAnsiTheme="minorHAnsi"/>
          <w:sz w:val="22"/>
          <w:szCs w:val="22"/>
        </w:rPr>
        <w:t xml:space="preserve"> and assessment,</w:t>
      </w:r>
      <w:r w:rsidR="00812FAB" w:rsidRPr="009708EF">
        <w:rPr>
          <w:rFonts w:asciiTheme="minorHAnsi" w:hAnsiTheme="minorHAnsi"/>
          <w:sz w:val="22"/>
          <w:szCs w:val="22"/>
        </w:rPr>
        <w:t xml:space="preserve"> and student </w:t>
      </w:r>
      <w:r w:rsidR="001B45C3">
        <w:rPr>
          <w:rFonts w:asciiTheme="minorHAnsi" w:hAnsiTheme="minorHAnsi"/>
          <w:sz w:val="22"/>
          <w:szCs w:val="22"/>
        </w:rPr>
        <w:t>engagement</w:t>
      </w:r>
      <w:r w:rsidR="00812FAB" w:rsidRPr="009708EF">
        <w:rPr>
          <w:rFonts w:asciiTheme="minorHAnsi" w:hAnsiTheme="minorHAnsi"/>
          <w:sz w:val="22"/>
          <w:szCs w:val="22"/>
        </w:rPr>
        <w:t xml:space="preserve"> for purposes of maintaining standards and reviewing, reflecting </w:t>
      </w:r>
      <w:r w:rsidR="00C033CA" w:rsidRPr="009708EF">
        <w:rPr>
          <w:rFonts w:asciiTheme="minorHAnsi" w:hAnsiTheme="minorHAnsi"/>
          <w:sz w:val="22"/>
          <w:szCs w:val="22"/>
        </w:rPr>
        <w:t xml:space="preserve">upon </w:t>
      </w:r>
      <w:r w:rsidR="00812FAB" w:rsidRPr="009708EF">
        <w:rPr>
          <w:rFonts w:asciiTheme="minorHAnsi" w:hAnsiTheme="minorHAnsi"/>
          <w:sz w:val="22"/>
          <w:szCs w:val="22"/>
        </w:rPr>
        <w:t xml:space="preserve">and enhancing quality across the </w:t>
      </w:r>
      <w:r w:rsidR="003962AC" w:rsidRPr="009708EF">
        <w:rPr>
          <w:rFonts w:asciiTheme="minorHAnsi" w:hAnsiTheme="minorHAnsi"/>
          <w:sz w:val="22"/>
          <w:szCs w:val="22"/>
        </w:rPr>
        <w:t>provision of Navitas</w:t>
      </w:r>
      <w:r w:rsidR="00812FAB" w:rsidRPr="009708EF">
        <w:rPr>
          <w:rFonts w:asciiTheme="minorHAnsi" w:hAnsiTheme="minorHAnsi"/>
          <w:sz w:val="22"/>
          <w:szCs w:val="22"/>
        </w:rPr>
        <w:t xml:space="preserve"> </w:t>
      </w:r>
      <w:r w:rsidR="000A2132" w:rsidRPr="009708EF">
        <w:rPr>
          <w:rFonts w:asciiTheme="minorHAnsi" w:hAnsiTheme="minorHAnsi"/>
          <w:sz w:val="22"/>
          <w:szCs w:val="22"/>
        </w:rPr>
        <w:t>Colleges</w:t>
      </w:r>
      <w:r>
        <w:rPr>
          <w:rFonts w:asciiTheme="minorHAnsi" w:hAnsiTheme="minorHAnsi"/>
          <w:sz w:val="22"/>
          <w:szCs w:val="22"/>
        </w:rPr>
        <w:t>;</w:t>
      </w:r>
    </w:p>
    <w:p w:rsidR="009708EF" w:rsidRDefault="009708EF" w:rsidP="00ED5BB3">
      <w:pPr>
        <w:pStyle w:val="ListParagraph"/>
        <w:numPr>
          <w:ilvl w:val="0"/>
          <w:numId w:val="43"/>
        </w:numPr>
        <w:jc w:val="both"/>
        <w:rPr>
          <w:rFonts w:asciiTheme="minorHAnsi" w:hAnsiTheme="minorHAnsi"/>
          <w:sz w:val="22"/>
          <w:szCs w:val="22"/>
        </w:rPr>
      </w:pPr>
      <w:r>
        <w:rPr>
          <w:rFonts w:asciiTheme="minorHAnsi" w:hAnsiTheme="minorHAnsi"/>
          <w:sz w:val="22"/>
          <w:szCs w:val="22"/>
        </w:rPr>
        <w:t>reporting structures for on-going monitoring and evaluation;</w:t>
      </w:r>
    </w:p>
    <w:p w:rsidR="00E64770" w:rsidRDefault="00E64770" w:rsidP="00ED5BB3">
      <w:pPr>
        <w:pStyle w:val="ListParagraph"/>
        <w:numPr>
          <w:ilvl w:val="0"/>
          <w:numId w:val="43"/>
        </w:numPr>
        <w:jc w:val="both"/>
        <w:rPr>
          <w:rFonts w:asciiTheme="minorHAnsi" w:hAnsiTheme="minorHAnsi"/>
          <w:sz w:val="22"/>
          <w:szCs w:val="22"/>
        </w:rPr>
      </w:pPr>
      <w:r>
        <w:rPr>
          <w:rFonts w:asciiTheme="minorHAnsi" w:hAnsiTheme="minorHAnsi"/>
          <w:sz w:val="22"/>
          <w:szCs w:val="22"/>
        </w:rPr>
        <w:t>comprehensive support services within Colleges;</w:t>
      </w:r>
    </w:p>
    <w:p w:rsidR="00E64770" w:rsidRDefault="00E64770" w:rsidP="00ED5BB3">
      <w:pPr>
        <w:pStyle w:val="ListParagraph"/>
        <w:numPr>
          <w:ilvl w:val="0"/>
          <w:numId w:val="43"/>
        </w:numPr>
        <w:jc w:val="both"/>
        <w:rPr>
          <w:rFonts w:asciiTheme="minorHAnsi" w:hAnsiTheme="minorHAnsi"/>
          <w:sz w:val="22"/>
          <w:szCs w:val="22"/>
        </w:rPr>
      </w:pPr>
      <w:r>
        <w:rPr>
          <w:rFonts w:asciiTheme="minorHAnsi" w:hAnsiTheme="minorHAnsi"/>
          <w:sz w:val="22"/>
          <w:szCs w:val="22"/>
        </w:rPr>
        <w:t>overarching and supportive quality and corporate services, and compliance monitoring by Navitas.</w:t>
      </w:r>
    </w:p>
    <w:p w:rsidR="00E64770" w:rsidRDefault="00E64770" w:rsidP="00E64770">
      <w:pPr>
        <w:pStyle w:val="ListParagraph"/>
        <w:ind w:left="567"/>
        <w:jc w:val="both"/>
        <w:rPr>
          <w:rFonts w:asciiTheme="minorHAnsi" w:hAnsiTheme="minorHAnsi"/>
          <w:sz w:val="22"/>
          <w:szCs w:val="22"/>
        </w:rPr>
      </w:pPr>
    </w:p>
    <w:p w:rsidR="00C033CA" w:rsidRPr="009708EF" w:rsidRDefault="00C77CA1" w:rsidP="00E64770">
      <w:pPr>
        <w:pStyle w:val="ListParagraph"/>
        <w:ind w:left="567"/>
        <w:jc w:val="both"/>
        <w:rPr>
          <w:rFonts w:asciiTheme="minorHAnsi" w:hAnsiTheme="minorHAnsi"/>
          <w:sz w:val="22"/>
          <w:szCs w:val="22"/>
        </w:rPr>
      </w:pPr>
      <w:r>
        <w:rPr>
          <w:rFonts w:asciiTheme="minorHAnsi" w:hAnsiTheme="minorHAnsi"/>
          <w:sz w:val="22"/>
          <w:szCs w:val="22"/>
        </w:rPr>
        <w:t>The manual</w:t>
      </w:r>
      <w:r w:rsidRPr="00C77CA1">
        <w:rPr>
          <w:rFonts w:asciiTheme="minorHAnsi" w:hAnsiTheme="minorHAnsi"/>
          <w:sz w:val="22"/>
          <w:szCs w:val="22"/>
        </w:rPr>
        <w:t xml:space="preserve"> is comprised of a central part which covers overarching policies and quality management structures followed by two</w:t>
      </w:r>
      <w:r>
        <w:t xml:space="preserve"> </w:t>
      </w:r>
      <w:r w:rsidR="003031C8" w:rsidRPr="009708EF">
        <w:rPr>
          <w:rFonts w:asciiTheme="minorHAnsi" w:hAnsiTheme="minorHAnsi"/>
          <w:sz w:val="22"/>
          <w:szCs w:val="22"/>
        </w:rPr>
        <w:t xml:space="preserve">series of Navitas </w:t>
      </w:r>
      <w:r w:rsidR="00C033CA" w:rsidRPr="009708EF">
        <w:rPr>
          <w:rFonts w:asciiTheme="minorHAnsi" w:hAnsiTheme="minorHAnsi"/>
          <w:sz w:val="22"/>
          <w:szCs w:val="22"/>
        </w:rPr>
        <w:t>Policies and Regulations (NPRs); one series deals</w:t>
      </w:r>
      <w:r w:rsidR="003031C8" w:rsidRPr="009708EF">
        <w:rPr>
          <w:rFonts w:asciiTheme="minorHAnsi" w:hAnsiTheme="minorHAnsi"/>
          <w:sz w:val="22"/>
          <w:szCs w:val="22"/>
        </w:rPr>
        <w:t xml:space="preserve"> with assurance of academic standards an</w:t>
      </w:r>
      <w:r w:rsidR="00C033CA" w:rsidRPr="009708EF">
        <w:rPr>
          <w:rFonts w:asciiTheme="minorHAnsi" w:hAnsiTheme="minorHAnsi"/>
          <w:sz w:val="22"/>
          <w:szCs w:val="22"/>
        </w:rPr>
        <w:t>d quality, and the other deals</w:t>
      </w:r>
      <w:r w:rsidR="003031C8" w:rsidRPr="009708EF">
        <w:rPr>
          <w:rFonts w:asciiTheme="minorHAnsi" w:hAnsiTheme="minorHAnsi"/>
          <w:sz w:val="22"/>
          <w:szCs w:val="22"/>
        </w:rPr>
        <w:t xml:space="preserve"> with management processes related to quality.</w:t>
      </w:r>
      <w:r w:rsidR="00C033CA" w:rsidRPr="009708EF">
        <w:rPr>
          <w:rFonts w:asciiTheme="minorHAnsi" w:hAnsiTheme="minorHAnsi" w:cs="Arial"/>
          <w:sz w:val="22"/>
          <w:szCs w:val="22"/>
        </w:rPr>
        <w:t xml:space="preserve"> There are variations in detail in the implementation of </w:t>
      </w:r>
      <w:r w:rsidR="00DF3B5D">
        <w:rPr>
          <w:rFonts w:asciiTheme="minorHAnsi" w:hAnsiTheme="minorHAnsi" w:cs="Arial"/>
          <w:sz w:val="22"/>
          <w:szCs w:val="22"/>
        </w:rPr>
        <w:t>some NPRs</w:t>
      </w:r>
      <w:r w:rsidR="00C033CA" w:rsidRPr="009708EF">
        <w:rPr>
          <w:rFonts w:asciiTheme="minorHAnsi" w:hAnsiTheme="minorHAnsi" w:cs="Arial"/>
          <w:sz w:val="22"/>
          <w:szCs w:val="22"/>
        </w:rPr>
        <w:t xml:space="preserve"> between Colleges </w:t>
      </w:r>
      <w:r w:rsidR="00C033CA" w:rsidRPr="009708EF">
        <w:rPr>
          <w:rFonts w:asciiTheme="minorHAnsi" w:hAnsiTheme="minorHAnsi"/>
          <w:sz w:val="22"/>
          <w:szCs w:val="22"/>
        </w:rPr>
        <w:t>arising from the bespoke nature of each College, their close alignment with the Partner University provision, and the</w:t>
      </w:r>
      <w:r w:rsidR="00C033CA" w:rsidRPr="009708EF">
        <w:rPr>
          <w:rFonts w:asciiTheme="minorHAnsi" w:hAnsiTheme="minorHAnsi" w:cs="Arial"/>
          <w:sz w:val="22"/>
          <w:szCs w:val="22"/>
        </w:rPr>
        <w:t xml:space="preserve"> different approaches taken by Partner Universities to the management of collaborative provision.  </w:t>
      </w:r>
      <w:r w:rsidR="00C033CA" w:rsidRPr="009708EF">
        <w:rPr>
          <w:rFonts w:asciiTheme="minorHAnsi" w:hAnsiTheme="minorHAnsi"/>
          <w:sz w:val="22"/>
          <w:szCs w:val="22"/>
        </w:rPr>
        <w:t xml:space="preserve">Such variations are formally agreed and consolidated in </w:t>
      </w:r>
      <w:r w:rsidR="00ED5BB3">
        <w:rPr>
          <w:rFonts w:asciiTheme="minorHAnsi" w:hAnsiTheme="minorHAnsi"/>
          <w:sz w:val="22"/>
          <w:szCs w:val="22"/>
        </w:rPr>
        <w:t>a College-specific appendix</w:t>
      </w:r>
      <w:r w:rsidR="00C033CA" w:rsidRPr="009708EF">
        <w:rPr>
          <w:rFonts w:asciiTheme="minorHAnsi" w:hAnsiTheme="minorHAnsi"/>
          <w:sz w:val="22"/>
          <w:szCs w:val="22"/>
        </w:rPr>
        <w:t xml:space="preserve"> </w:t>
      </w:r>
      <w:r w:rsidR="00ED5BB3">
        <w:rPr>
          <w:rFonts w:asciiTheme="minorHAnsi" w:hAnsiTheme="minorHAnsi"/>
          <w:sz w:val="22"/>
          <w:szCs w:val="22"/>
        </w:rPr>
        <w:t>to the Quality Manual and/or the College Operations Manual.</w:t>
      </w:r>
      <w:r w:rsidR="00C033CA" w:rsidRPr="009708EF">
        <w:rPr>
          <w:rFonts w:asciiTheme="minorHAnsi" w:hAnsiTheme="minorHAnsi"/>
          <w:sz w:val="22"/>
          <w:szCs w:val="22"/>
        </w:rPr>
        <w:t xml:space="preserve">  In this way</w:t>
      </w:r>
      <w:r w:rsidR="00C033CA" w:rsidRPr="009708EF">
        <w:rPr>
          <w:rFonts w:asciiTheme="minorHAnsi" w:hAnsiTheme="minorHAnsi" w:cs="Arial"/>
          <w:sz w:val="22"/>
          <w:szCs w:val="22"/>
        </w:rPr>
        <w:t xml:space="preserve"> Navitas provides a robust quality assurance framework </w:t>
      </w:r>
      <w:r w:rsidR="00C033CA" w:rsidRPr="009708EF">
        <w:rPr>
          <w:rFonts w:asciiTheme="minorHAnsi" w:hAnsiTheme="minorHAnsi"/>
          <w:sz w:val="22"/>
          <w:szCs w:val="22"/>
        </w:rPr>
        <w:t>providing parity and consistency to the management of quality and standards across the UK college network.</w:t>
      </w:r>
    </w:p>
    <w:p w:rsidR="00C033CA" w:rsidRDefault="00C033CA" w:rsidP="003962AC">
      <w:pPr>
        <w:spacing w:after="0" w:line="240" w:lineRule="auto"/>
        <w:ind w:left="567"/>
        <w:jc w:val="both"/>
      </w:pPr>
    </w:p>
    <w:p w:rsidR="003962AC" w:rsidRDefault="007C6E1E" w:rsidP="003962AC">
      <w:pPr>
        <w:spacing w:after="0" w:line="240" w:lineRule="auto"/>
        <w:ind w:left="567"/>
        <w:jc w:val="both"/>
      </w:pPr>
      <w:r>
        <w:t xml:space="preserve">The </w:t>
      </w:r>
      <w:r w:rsidR="003018EA">
        <w:t xml:space="preserve">UPE EGM </w:t>
      </w:r>
      <w:r>
        <w:t xml:space="preserve">is responsible for </w:t>
      </w:r>
      <w:r w:rsidR="00DF3B5D">
        <w:t>maintaining</w:t>
      </w:r>
      <w:r>
        <w:t xml:space="preserve"> the Quality Manual. </w:t>
      </w:r>
      <w:r w:rsidR="003962AC">
        <w:t xml:space="preserve"> </w:t>
      </w:r>
    </w:p>
    <w:p w:rsidR="003962AC" w:rsidRDefault="003962AC" w:rsidP="003962AC">
      <w:pPr>
        <w:spacing w:after="0" w:line="240" w:lineRule="auto"/>
        <w:ind w:left="567"/>
        <w:jc w:val="both"/>
      </w:pPr>
    </w:p>
    <w:p w:rsidR="001A783D" w:rsidRDefault="001A783D" w:rsidP="003962AC">
      <w:pPr>
        <w:spacing w:after="0" w:line="240" w:lineRule="auto"/>
        <w:ind w:left="567"/>
        <w:jc w:val="both"/>
      </w:pPr>
      <w:r>
        <w:t xml:space="preserve">Appendix One illustrates the Governance structure of </w:t>
      </w:r>
      <w:r w:rsidR="009731DE">
        <w:t>Navitas UPE</w:t>
      </w:r>
      <w:r>
        <w:t>.</w:t>
      </w:r>
    </w:p>
    <w:p w:rsidR="00F85E34" w:rsidRDefault="00F85E34" w:rsidP="002355E2">
      <w:pPr>
        <w:spacing w:after="0" w:line="240" w:lineRule="auto"/>
        <w:ind w:left="567" w:hanging="567"/>
        <w:jc w:val="both"/>
        <w:rPr>
          <w:rFonts w:cstheme="minorHAnsi"/>
          <w:b/>
        </w:rPr>
      </w:pPr>
    </w:p>
    <w:p w:rsidR="003B5782" w:rsidRDefault="003B5782" w:rsidP="002355E2">
      <w:pPr>
        <w:spacing w:after="0" w:line="240" w:lineRule="auto"/>
        <w:ind w:left="567" w:hanging="567"/>
        <w:jc w:val="both"/>
        <w:rPr>
          <w:rFonts w:cstheme="minorHAnsi"/>
          <w:b/>
        </w:rPr>
      </w:pPr>
    </w:p>
    <w:p w:rsidR="002355E2" w:rsidRPr="00177546" w:rsidRDefault="00D61360" w:rsidP="002355E2">
      <w:pPr>
        <w:spacing w:after="0" w:line="240" w:lineRule="auto"/>
        <w:ind w:left="567" w:hanging="567"/>
        <w:jc w:val="both"/>
        <w:rPr>
          <w:rFonts w:cstheme="minorHAnsi"/>
          <w:b/>
        </w:rPr>
      </w:pPr>
      <w:r>
        <w:rPr>
          <w:rFonts w:cstheme="minorHAnsi"/>
          <w:b/>
        </w:rPr>
        <w:t>2</w:t>
      </w:r>
      <w:r w:rsidR="002355E2">
        <w:rPr>
          <w:rFonts w:cstheme="minorHAnsi"/>
          <w:b/>
        </w:rPr>
        <w:tab/>
      </w:r>
      <w:r w:rsidR="00625C83">
        <w:rPr>
          <w:rFonts w:cstheme="minorHAnsi"/>
          <w:b/>
        </w:rPr>
        <w:t>ACADEMIC GOVERNANCE</w:t>
      </w:r>
    </w:p>
    <w:p w:rsidR="00F85E34" w:rsidRDefault="00F85E34" w:rsidP="002355E2">
      <w:pPr>
        <w:spacing w:after="0" w:line="240" w:lineRule="auto"/>
        <w:ind w:left="567" w:hanging="567"/>
        <w:jc w:val="both"/>
        <w:rPr>
          <w:rFonts w:cstheme="minorHAnsi"/>
        </w:rPr>
      </w:pPr>
    </w:p>
    <w:p w:rsidR="00E51B8E" w:rsidRPr="00625C83" w:rsidRDefault="00F13BE4" w:rsidP="002355E2">
      <w:pPr>
        <w:spacing w:after="0" w:line="240" w:lineRule="auto"/>
        <w:ind w:left="567" w:hanging="567"/>
        <w:jc w:val="both"/>
        <w:rPr>
          <w:rFonts w:cstheme="minorHAnsi"/>
          <w:b/>
        </w:rPr>
      </w:pPr>
      <w:r w:rsidRPr="00625C83">
        <w:rPr>
          <w:rFonts w:cstheme="minorHAnsi"/>
          <w:b/>
        </w:rPr>
        <w:t>2</w:t>
      </w:r>
      <w:r w:rsidR="002355E2" w:rsidRPr="00625C83">
        <w:rPr>
          <w:rFonts w:cstheme="minorHAnsi"/>
          <w:b/>
        </w:rPr>
        <w:t>.1</w:t>
      </w:r>
      <w:r w:rsidR="002355E2" w:rsidRPr="00625C83">
        <w:rPr>
          <w:rFonts w:cstheme="minorHAnsi"/>
          <w:b/>
        </w:rPr>
        <w:tab/>
      </w:r>
      <w:r w:rsidR="00E51B8E" w:rsidRPr="00625C83">
        <w:rPr>
          <w:rFonts w:cstheme="minorHAnsi"/>
          <w:b/>
        </w:rPr>
        <w:t>Overview</w:t>
      </w:r>
    </w:p>
    <w:p w:rsidR="002355E2" w:rsidRDefault="002355E2" w:rsidP="00E51B8E">
      <w:pPr>
        <w:spacing w:after="0" w:line="240" w:lineRule="auto"/>
        <w:ind w:left="567"/>
        <w:jc w:val="both"/>
        <w:rPr>
          <w:rFonts w:cstheme="minorHAnsi"/>
        </w:rPr>
      </w:pPr>
      <w:r w:rsidRPr="00177546">
        <w:rPr>
          <w:rFonts w:cstheme="minorHAnsi"/>
        </w:rPr>
        <w:t xml:space="preserve">The </w:t>
      </w:r>
      <w:r>
        <w:rPr>
          <w:rFonts w:cstheme="minorHAnsi"/>
        </w:rPr>
        <w:t xml:space="preserve">Quality and Standards Framework, Figure 1, </w:t>
      </w:r>
      <w:r w:rsidR="00F13BE4">
        <w:rPr>
          <w:rFonts w:cstheme="minorHAnsi"/>
        </w:rPr>
        <w:t>outlines</w:t>
      </w:r>
      <w:r>
        <w:rPr>
          <w:rFonts w:cstheme="minorHAnsi"/>
        </w:rPr>
        <w:t xml:space="preserve"> the governance structures i</w:t>
      </w:r>
      <w:r w:rsidR="00E51B8E">
        <w:rPr>
          <w:rFonts w:cstheme="minorHAnsi"/>
        </w:rPr>
        <w:t xml:space="preserve">n place pertaining to academic </w:t>
      </w:r>
      <w:r w:rsidR="00BD0E16">
        <w:rPr>
          <w:rFonts w:cstheme="minorHAnsi"/>
        </w:rPr>
        <w:t>provision for each C</w:t>
      </w:r>
      <w:r w:rsidR="00E51B8E">
        <w:rPr>
          <w:rFonts w:cstheme="minorHAnsi"/>
        </w:rPr>
        <w:t>ollege/</w:t>
      </w:r>
      <w:r w:rsidR="00BD0E16">
        <w:rPr>
          <w:rFonts w:cstheme="minorHAnsi"/>
        </w:rPr>
        <w:t>U</w:t>
      </w:r>
      <w:r>
        <w:rPr>
          <w:rFonts w:cstheme="minorHAnsi"/>
        </w:rPr>
        <w:t xml:space="preserve">niversity </w:t>
      </w:r>
      <w:r w:rsidR="00E51B8E">
        <w:rPr>
          <w:rFonts w:cstheme="minorHAnsi"/>
        </w:rPr>
        <w:t xml:space="preserve">partnership.  </w:t>
      </w:r>
    </w:p>
    <w:p w:rsidR="007E4304" w:rsidRPr="00073DD6" w:rsidRDefault="007E4304" w:rsidP="00E51B8E">
      <w:pPr>
        <w:spacing w:after="0" w:line="240" w:lineRule="auto"/>
        <w:ind w:left="567"/>
        <w:jc w:val="both"/>
        <w:rPr>
          <w:rFonts w:cstheme="minorHAnsi"/>
        </w:rPr>
      </w:pPr>
    </w:p>
    <w:p w:rsidR="007E4304" w:rsidRPr="008620FC" w:rsidRDefault="007E4304" w:rsidP="007E4304">
      <w:pPr>
        <w:spacing w:after="0" w:line="240" w:lineRule="auto"/>
        <w:ind w:left="567"/>
        <w:jc w:val="both"/>
      </w:pPr>
      <w:r>
        <w:t xml:space="preserve">Under this framework the </w:t>
      </w:r>
      <w:r w:rsidRPr="008F08BB">
        <w:t>College D</w:t>
      </w:r>
      <w:r>
        <w:t xml:space="preserve">irector/Principal has the primary responsibility for the quality assurance of provision </w:t>
      </w:r>
      <w:r w:rsidR="00F13BE4">
        <w:t>at a particular College</w:t>
      </w:r>
      <w:r>
        <w:t>.  The Partner University has responsibility for assuring academic standards of the College’s provision by way of (i) operational mechanisms such as programme approval, moderation, assessment boards and regular planning meetings, and (ii) reflective and strategic dialogue such as that fostered by the Academic Advisory Committee (AAC).</w:t>
      </w:r>
    </w:p>
    <w:p w:rsidR="002355E2" w:rsidRDefault="002355E2" w:rsidP="00BD0E16">
      <w:pPr>
        <w:spacing w:after="0" w:line="240" w:lineRule="auto"/>
        <w:ind w:left="567"/>
        <w:jc w:val="both"/>
      </w:pPr>
    </w:p>
    <w:p w:rsidR="002355E2" w:rsidRPr="00277A89" w:rsidRDefault="002355E2" w:rsidP="00F85E34">
      <w:pPr>
        <w:spacing w:after="120"/>
        <w:ind w:left="2552"/>
        <w:jc w:val="both"/>
        <w:rPr>
          <w:rFonts w:cstheme="minorHAnsi"/>
          <w:lang w:val="en-US"/>
        </w:rPr>
      </w:pPr>
      <w:r w:rsidRPr="00277A89">
        <w:rPr>
          <w:rFonts w:cstheme="minorHAnsi"/>
          <w:lang w:val="en-US"/>
        </w:rPr>
        <w:t xml:space="preserve">Figure </w:t>
      </w:r>
      <w:r w:rsidR="00362B73">
        <w:rPr>
          <w:rFonts w:cstheme="minorHAnsi"/>
          <w:lang w:val="en-US"/>
        </w:rPr>
        <w:t>1</w:t>
      </w:r>
      <w:r w:rsidRPr="00277A89">
        <w:rPr>
          <w:rFonts w:cstheme="minorHAnsi"/>
          <w:lang w:val="en-US"/>
        </w:rPr>
        <w:t xml:space="preserve">.  </w:t>
      </w:r>
      <w:r w:rsidR="00C033CA">
        <w:rPr>
          <w:rFonts w:cstheme="minorHAnsi"/>
          <w:lang w:val="en-US"/>
        </w:rPr>
        <w:t>Navitas</w:t>
      </w:r>
      <w:r w:rsidRPr="00277A89">
        <w:rPr>
          <w:rFonts w:cstheme="minorHAnsi"/>
          <w:lang w:val="en-US"/>
        </w:rPr>
        <w:t xml:space="preserve"> Quality and Standards </w:t>
      </w:r>
      <w:r>
        <w:rPr>
          <w:rFonts w:cstheme="minorHAnsi"/>
          <w:lang w:val="en-US"/>
        </w:rPr>
        <w:t>Framework</w:t>
      </w:r>
      <w:r w:rsidRPr="00277A89">
        <w:rPr>
          <w:rFonts w:cstheme="minorHAnsi"/>
          <w:lang w:val="en-US"/>
        </w:rPr>
        <w:t>.</w:t>
      </w:r>
    </w:p>
    <w:p w:rsidR="002355E2" w:rsidRPr="00132C00" w:rsidRDefault="00F76AD3" w:rsidP="002355E2">
      <w:pPr>
        <w:spacing w:after="120"/>
        <w:jc w:val="both"/>
        <w:rPr>
          <w:rFonts w:cstheme="minorHAnsi"/>
          <w:sz w:val="20"/>
          <w:szCs w:val="20"/>
          <w:lang w:val="en-US"/>
        </w:rPr>
      </w:pPr>
      <w:r>
        <w:rPr>
          <w:rFonts w:cstheme="minorHAnsi"/>
          <w:noProof/>
          <w:sz w:val="20"/>
          <w:szCs w:val="20"/>
        </w:rPr>
        <mc:AlternateContent>
          <mc:Choice Requires="wps">
            <w:drawing>
              <wp:anchor distT="0" distB="0" distL="114300" distR="114300" simplePos="0" relativeHeight="251650560" behindDoc="0" locked="0" layoutInCell="1" allowOverlap="1">
                <wp:simplePos x="0" y="0"/>
                <wp:positionH relativeFrom="column">
                  <wp:posOffset>3852545</wp:posOffset>
                </wp:positionH>
                <wp:positionV relativeFrom="paragraph">
                  <wp:posOffset>822325</wp:posOffset>
                </wp:positionV>
                <wp:extent cx="2490470" cy="1147445"/>
                <wp:effectExtent l="0" t="0" r="24130" b="14605"/>
                <wp:wrapNone/>
                <wp:docPr id="79"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1147445"/>
                        </a:xfrm>
                        <a:prstGeom prst="roundRect">
                          <a:avLst>
                            <a:gd name="adj" fmla="val 16667"/>
                          </a:avLst>
                        </a:prstGeom>
                        <a:solidFill>
                          <a:srgbClr val="FFFFFF"/>
                        </a:solidFill>
                        <a:ln w="9525">
                          <a:solidFill>
                            <a:sysClr val="window" lastClr="FFFFFF">
                              <a:lumMod val="65000"/>
                              <a:lumOff val="0"/>
                            </a:sysClr>
                          </a:solidFill>
                          <a:round/>
                          <a:headEnd/>
                          <a:tailEnd/>
                        </a:ln>
                      </wps:spPr>
                      <wps:txbx>
                        <w:txbxContent>
                          <w:p w:rsidR="00F45327" w:rsidRPr="00F85E34" w:rsidRDefault="00F45327" w:rsidP="002355E2">
                            <w:pPr>
                              <w:spacing w:after="0" w:line="240" w:lineRule="auto"/>
                              <w:jc w:val="both"/>
                              <w:rPr>
                                <w:sz w:val="16"/>
                                <w:szCs w:val="16"/>
                              </w:rPr>
                            </w:pPr>
                            <w:r w:rsidRPr="00F85E34">
                              <w:rPr>
                                <w:b/>
                                <w:sz w:val="16"/>
                                <w:szCs w:val="16"/>
                              </w:rPr>
                              <w:t>Level 2</w:t>
                            </w:r>
                          </w:p>
                          <w:p w:rsidR="00F45327" w:rsidRPr="00F85E34" w:rsidRDefault="00F45327" w:rsidP="002355E2">
                            <w:pPr>
                              <w:spacing w:after="0" w:line="240" w:lineRule="auto"/>
                              <w:jc w:val="both"/>
                              <w:rPr>
                                <w:sz w:val="16"/>
                                <w:szCs w:val="16"/>
                              </w:rPr>
                            </w:pPr>
                            <w:r w:rsidRPr="00F85E34">
                              <w:rPr>
                                <w:sz w:val="16"/>
                                <w:szCs w:val="16"/>
                              </w:rPr>
                              <w:t xml:space="preserve">Navitas Quality Manual governs the management of quality and standards for all UK colleges. Assurance, monitoring and review by the Quality and Standards Office to ensure Colleges are compliant with the Quality Manual and to foster dialogue and enhancements at a UK level.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7" o:spid="_x0000_s1026" style="position:absolute;left:0;text-align:left;margin-left:303.35pt;margin-top:64.75pt;width:196.1pt;height:90.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kIXAIAALMEAAAOAAAAZHJzL2Uyb0RvYy54bWysVNuO0zAQfUfiHyy/s0mqtKVR09WqSxHS&#10;AisWPsC1ncbgeIztNi1fv2MnLV14Q/QhmpvPXM5Ml7fHTpODdF6BqWlxk1MiDQehzK6m375u3ryl&#10;xAdmBNNgZE1P0tPb1etXy95WcgItaCEdQRDjq97WtA3BVlnmeSs75m/ASoPOBlzHAqpulwnHekTv&#10;dDbJ81nWgxPWAZfeo/V+cNJVwm8aycPnpvEyEF1TrC2kr0vfbfxmqyWrdo7ZVvGxDPYPVXRMGUx6&#10;gbpngZG9U39BdYo78NCEGw5dBk2juEw9YDdF/kc3Ty2zMvWCw/H2Mib//2D5p8OjI0rUdL6gxLAO&#10;ObrbB0ipyaScxwn11lcY+GQfXezR2wfgPzwxsG6Z2ck756BvJRNYVxHjsxcPouLxKdn2H0EgPkP8&#10;NKxj47oIiGMgx8TJ6cKJPAbC0TgpF3k5R+o4+oqinJflNOVg1fm5dT68l9CRKNTUwd6IL8h8ysEO&#10;Dz4kZsTYHhPfKWk6jTwfmCbFbDZLXWasGoNROmOmfkErsVFaJ8XttmvtCD6t6Sb9xnL8dZg2pK/p&#10;YjqZpipe+PzJXxBwlQX0lGjmAxovkDGV3nc4sCHTbJrn47aiGXd6MCcTljtA4uRRvC4jzSLteOTn&#10;nRFJDkzpQcZ4bUbCIkcD1+G4PY60b0GckDoHw+XgpaPQgvtFSY9XU1P/c8+cxAY+GKR/UZRlPLOk&#10;lNP5BBV37dlee5jhCFXTQMkgrsNwmnvr1K7FTEWanoG4ko0K590aqhrrxstIjY9XHE/vWk9Rv/9r&#10;Vs8AAAD//wMAUEsDBBQABgAIAAAAIQBSHAEQ4QAAAAsBAAAPAAAAZHJzL2Rvd25yZXYueG1sTI/B&#10;TsMwEETvSPyDtUhcELUb1NCEOBVFqrigUgzct7ZJIuJ1iN02/D3mBMfVPM28rVaT69nRjqHzJGE+&#10;E8AsaW86aiS8vW6ul8BCRDLYe7ISvm2AVX1+VmFp/Ile7FHFhqUSCiVKaGMcSs6Dbq3DMPODpZR9&#10;+NFhTOfYcDPiKZW7nmdC5NxhR2mhxcE+tFZ/qoOT4NZfi93TpLWKu+etwqv3tXrcSHl5Md3fAYt2&#10;in8w/OondaiT094fyATWS8hFfpvQFGTFAlgiimJZANtLuJmLDHhd8f8/1D8AAAD//wMAUEsBAi0A&#10;FAAGAAgAAAAhALaDOJL+AAAA4QEAABMAAAAAAAAAAAAAAAAAAAAAAFtDb250ZW50X1R5cGVzXS54&#10;bWxQSwECLQAUAAYACAAAACEAOP0h/9YAAACUAQAACwAAAAAAAAAAAAAAAAAvAQAAX3JlbHMvLnJl&#10;bHNQSwECLQAUAAYACAAAACEAps3pCFwCAACzBAAADgAAAAAAAAAAAAAAAAAuAgAAZHJzL2Uyb0Rv&#10;Yy54bWxQSwECLQAUAAYACAAAACEAUhwBEOEAAAALAQAADwAAAAAAAAAAAAAAAAC2BAAAZHJzL2Rv&#10;d25yZXYueG1sUEsFBgAAAAAEAAQA8wAAAMQFAAAAAA==&#10;" strokecolor="#a6a6a6">
                <v:textbox>
                  <w:txbxContent>
                    <w:p w:rsidR="00F45327" w:rsidRPr="00F85E34" w:rsidRDefault="00F45327" w:rsidP="002355E2">
                      <w:pPr>
                        <w:spacing w:after="0" w:line="240" w:lineRule="auto"/>
                        <w:jc w:val="both"/>
                        <w:rPr>
                          <w:sz w:val="16"/>
                          <w:szCs w:val="16"/>
                        </w:rPr>
                      </w:pPr>
                      <w:r w:rsidRPr="00F85E34">
                        <w:rPr>
                          <w:b/>
                          <w:sz w:val="16"/>
                          <w:szCs w:val="16"/>
                        </w:rPr>
                        <w:t>Level 2</w:t>
                      </w:r>
                    </w:p>
                    <w:p w:rsidR="00F45327" w:rsidRPr="00F85E34" w:rsidRDefault="00F45327" w:rsidP="002355E2">
                      <w:pPr>
                        <w:spacing w:after="0" w:line="240" w:lineRule="auto"/>
                        <w:jc w:val="both"/>
                        <w:rPr>
                          <w:sz w:val="16"/>
                          <w:szCs w:val="16"/>
                        </w:rPr>
                      </w:pPr>
                      <w:r w:rsidRPr="00F85E34">
                        <w:rPr>
                          <w:sz w:val="16"/>
                          <w:szCs w:val="16"/>
                        </w:rPr>
                        <w:t xml:space="preserve">Navitas Quality Manual governs the management of quality and standards for all UK colleges. Assurance, monitoring and review by the Quality and Standards Office to ensure Colleges are compliant with the Quality Manual and to foster dialogue and enhancements at a UK level. </w:t>
                      </w:r>
                    </w:p>
                  </w:txbxContent>
                </v:textbox>
              </v:roundrect>
            </w:pict>
          </mc:Fallback>
        </mc:AlternateContent>
      </w:r>
      <w:r>
        <w:rPr>
          <w:rFonts w:cstheme="minorHAnsi"/>
          <w:noProof/>
          <w:sz w:val="20"/>
          <w:szCs w:val="20"/>
        </w:rPr>
        <mc:AlternateContent>
          <mc:Choice Requires="wps">
            <w:drawing>
              <wp:anchor distT="0" distB="0" distL="114300" distR="114300" simplePos="0" relativeHeight="251656704" behindDoc="0" locked="0" layoutInCell="1" allowOverlap="1">
                <wp:simplePos x="0" y="0"/>
                <wp:positionH relativeFrom="column">
                  <wp:posOffset>3851910</wp:posOffset>
                </wp:positionH>
                <wp:positionV relativeFrom="paragraph">
                  <wp:posOffset>89535</wp:posOffset>
                </wp:positionV>
                <wp:extent cx="2491105" cy="659130"/>
                <wp:effectExtent l="0" t="0" r="23495" b="26670"/>
                <wp:wrapNone/>
                <wp:docPr id="8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659130"/>
                        </a:xfrm>
                        <a:prstGeom prst="roundRect">
                          <a:avLst>
                            <a:gd name="adj" fmla="val 16667"/>
                          </a:avLst>
                        </a:prstGeom>
                        <a:solidFill>
                          <a:srgbClr val="FFFFFF"/>
                        </a:solidFill>
                        <a:ln w="9525">
                          <a:solidFill>
                            <a:sysClr val="window" lastClr="FFFFFF">
                              <a:lumMod val="65000"/>
                              <a:lumOff val="0"/>
                            </a:sysClr>
                          </a:solidFill>
                          <a:round/>
                          <a:headEnd/>
                          <a:tailEnd/>
                        </a:ln>
                      </wps:spPr>
                      <wps:txbx>
                        <w:txbxContent>
                          <w:p w:rsidR="00F45327" w:rsidRPr="00F85E34" w:rsidRDefault="00F45327" w:rsidP="002355E2">
                            <w:pPr>
                              <w:spacing w:after="0" w:line="240" w:lineRule="auto"/>
                              <w:jc w:val="both"/>
                              <w:rPr>
                                <w:sz w:val="16"/>
                                <w:szCs w:val="16"/>
                              </w:rPr>
                            </w:pPr>
                            <w:r w:rsidRPr="00F85E34">
                              <w:rPr>
                                <w:b/>
                                <w:sz w:val="16"/>
                                <w:szCs w:val="16"/>
                              </w:rPr>
                              <w:t>Level 1</w:t>
                            </w:r>
                          </w:p>
                          <w:p w:rsidR="00F45327" w:rsidRPr="00F85E34" w:rsidRDefault="00F45327" w:rsidP="002355E2">
                            <w:pPr>
                              <w:spacing w:after="0" w:line="240" w:lineRule="auto"/>
                              <w:jc w:val="both"/>
                              <w:rPr>
                                <w:sz w:val="16"/>
                                <w:szCs w:val="16"/>
                              </w:rPr>
                            </w:pPr>
                            <w:r w:rsidRPr="00F85E34">
                              <w:rPr>
                                <w:sz w:val="16"/>
                                <w:szCs w:val="16"/>
                              </w:rPr>
                              <w:t xml:space="preserve">Oversight by the Navitas </w:t>
                            </w:r>
                            <w:r w:rsidR="009731DE">
                              <w:rPr>
                                <w:sz w:val="16"/>
                                <w:szCs w:val="16"/>
                              </w:rPr>
                              <w:t>ELT</w:t>
                            </w:r>
                            <w:r w:rsidRPr="00F85E34">
                              <w:rPr>
                                <w:sz w:val="16"/>
                                <w:szCs w:val="16"/>
                              </w:rPr>
                              <w:t xml:space="preserve">. Collation of key quantitative data across the Colleges.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9" o:spid="_x0000_s1027" style="position:absolute;left:0;text-align:left;margin-left:303.3pt;margin-top:7.05pt;width:196.15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0yYAIAALkEAAAOAAAAZHJzL2Uyb0RvYy54bWysVF9v0zAQf0fiO1h+p0lK261R02nqGEIa&#10;MDH4AI7tNAbHZ2y3affpOTtp6eANkQfL57v73Z/fXVY3h06TvXRegaloMckpkYaDUGZb0W9f799c&#10;U+IDM4JpMLKiR+npzfr1q1VvSzmFFrSQjiCI8WVvK9qGYMss87yVHfMTsNKgsgHXsYCi22bCsR7R&#10;O51N83yR9eCEdcCl9/h6NyjpOuE3jeThc9N4GYiuKOYW0unSWcczW69YuXXMtoqPabB/yKJjymDQ&#10;M9QdC4zsnPoLqlPcgYcmTDh0GTSN4jLVgNUU+R/VPLXMylQLNsfbc5v8/4Pln/aPjihR0euCEsM6&#10;5Oh2FyCFJtPZMnaot75Ewyf76GKN3j4A/+GJgU3LzFbeOgd9K5nAvIpon71wiIJHV1L3H0EgPkP8&#10;1KxD47oIiG0gh8TJ8cyJPATC8RFTKIp8TglH3WK+LN4m0jJWnryt8+G9hI7ES0Ud7Iz4gsSnEGz/&#10;4EMiRozVMfGdkqbTSPOeaVIsFourlDQrR2PEPmGmckErca+0ToLb1hvtCLpW9D59o7O/NNOG9BVd&#10;zqfzlMULnT/6MwJOsoCeEs18wMczZAyldx32a4i0mOf5OKz4jCM9PJ9aMUBi45GcyzRSL9KIR3re&#10;GZHugSk93NFem5GvSNFAdTjUhzQSicxIXw3iiAQ6GPYH9x0vLbhnSnrcnYr6nzvmJNbxweAQLIvZ&#10;LC5bEmbzqykK7lJTX2qY4QhV0UDJcN2EYUF31qlti5GK1EQDcTAbFU4TNmQ1po/7keofdzku4KWc&#10;rH7/cda/AAAA//8DAFBLAwQUAAYACAAAACEAA9pcsN8AAAAKAQAADwAAAGRycy9kb3ducmV2Lnht&#10;bEyPwU7DMAyG70i8Q2QkLmhLi6BbS9OJIU1c0BgB7llj2orGKU22lbfHnOBo/59+fy5Xk+vFEcfQ&#10;eVKQzhMQSLW3HTUK3l43syWIEA1Z03tCBd8YYFWdn5WmsP5EL3jUsRFcQqEwCtoYh0LKULfoTJj7&#10;AYmzDz86E3kcG2lHc+Jy18vrJMmkMx3xhdYM+NBi/akPToFbf93unqa61nH3vNXm6n2tHzdKXV5M&#10;93cgIk7xD4ZffVaHip32/kA2iF5BlmQZoxzcpCAYyPNlDmLPi3SRg6xK+f+F6gcAAP//AwBQSwEC&#10;LQAUAAYACAAAACEAtoM4kv4AAADhAQAAEwAAAAAAAAAAAAAAAAAAAAAAW0NvbnRlbnRfVHlwZXNd&#10;LnhtbFBLAQItABQABgAIAAAAIQA4/SH/1gAAAJQBAAALAAAAAAAAAAAAAAAAAC8BAABfcmVscy8u&#10;cmVsc1BLAQItABQABgAIAAAAIQATiO0yYAIAALkEAAAOAAAAAAAAAAAAAAAAAC4CAABkcnMvZTJv&#10;RG9jLnhtbFBLAQItABQABgAIAAAAIQAD2lyw3wAAAAoBAAAPAAAAAAAAAAAAAAAAALoEAABkcnMv&#10;ZG93bnJldi54bWxQSwUGAAAAAAQABADzAAAAxgUAAAAA&#10;" strokecolor="#a6a6a6">
                <v:textbox>
                  <w:txbxContent>
                    <w:p w:rsidR="00F45327" w:rsidRPr="00F85E34" w:rsidRDefault="00F45327" w:rsidP="002355E2">
                      <w:pPr>
                        <w:spacing w:after="0" w:line="240" w:lineRule="auto"/>
                        <w:jc w:val="both"/>
                        <w:rPr>
                          <w:sz w:val="16"/>
                          <w:szCs w:val="16"/>
                        </w:rPr>
                      </w:pPr>
                      <w:r w:rsidRPr="00F85E34">
                        <w:rPr>
                          <w:b/>
                          <w:sz w:val="16"/>
                          <w:szCs w:val="16"/>
                        </w:rPr>
                        <w:t>Level 1</w:t>
                      </w:r>
                    </w:p>
                    <w:p w:rsidR="00F45327" w:rsidRPr="00F85E34" w:rsidRDefault="00F45327" w:rsidP="002355E2">
                      <w:pPr>
                        <w:spacing w:after="0" w:line="240" w:lineRule="auto"/>
                        <w:jc w:val="both"/>
                        <w:rPr>
                          <w:sz w:val="16"/>
                          <w:szCs w:val="16"/>
                        </w:rPr>
                      </w:pPr>
                      <w:r w:rsidRPr="00F85E34">
                        <w:rPr>
                          <w:sz w:val="16"/>
                          <w:szCs w:val="16"/>
                        </w:rPr>
                        <w:t xml:space="preserve">Oversight by the Navitas </w:t>
                      </w:r>
                      <w:r w:rsidR="009731DE">
                        <w:rPr>
                          <w:sz w:val="16"/>
                          <w:szCs w:val="16"/>
                        </w:rPr>
                        <w:t>ELT</w:t>
                      </w:r>
                      <w:r w:rsidRPr="00F85E34">
                        <w:rPr>
                          <w:sz w:val="16"/>
                          <w:szCs w:val="16"/>
                        </w:rPr>
                        <w:t xml:space="preserve">. Collation of key quantitative data across the Colleges. </w:t>
                      </w:r>
                    </w:p>
                  </w:txbxContent>
                </v:textbox>
              </v:roundrect>
            </w:pict>
          </mc:Fallback>
        </mc:AlternateContent>
      </w:r>
      <w:r>
        <w:rPr>
          <w:rFonts w:cstheme="minorHAnsi"/>
          <w:noProof/>
          <w:sz w:val="20"/>
          <w:szCs w:val="20"/>
        </w:rPr>
        <mc:AlternateContent>
          <mc:Choice Requires="wps">
            <w:drawing>
              <wp:anchor distT="0" distB="0" distL="114300" distR="114300" simplePos="0" relativeHeight="251653632" behindDoc="0" locked="0" layoutInCell="1" allowOverlap="1">
                <wp:simplePos x="0" y="0"/>
                <wp:positionH relativeFrom="column">
                  <wp:posOffset>3893820</wp:posOffset>
                </wp:positionH>
                <wp:positionV relativeFrom="paragraph">
                  <wp:posOffset>2061845</wp:posOffset>
                </wp:positionV>
                <wp:extent cx="2492375" cy="597535"/>
                <wp:effectExtent l="0" t="0" r="22225" b="12065"/>
                <wp:wrapNone/>
                <wp:docPr id="80"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597535"/>
                        </a:xfrm>
                        <a:prstGeom prst="roundRect">
                          <a:avLst>
                            <a:gd name="adj" fmla="val 16667"/>
                          </a:avLst>
                        </a:prstGeom>
                        <a:solidFill>
                          <a:srgbClr val="FFFFFF"/>
                        </a:solidFill>
                        <a:ln w="9525">
                          <a:solidFill>
                            <a:sysClr val="window" lastClr="FFFFFF">
                              <a:lumMod val="65000"/>
                              <a:lumOff val="0"/>
                            </a:sysClr>
                          </a:solidFill>
                          <a:round/>
                          <a:headEnd/>
                          <a:tailEnd/>
                        </a:ln>
                      </wps:spPr>
                      <wps:txbx>
                        <w:txbxContent>
                          <w:p w:rsidR="00F45327" w:rsidRPr="00F85E34" w:rsidRDefault="00F45327" w:rsidP="002355E2">
                            <w:pPr>
                              <w:spacing w:after="0" w:line="240" w:lineRule="auto"/>
                              <w:jc w:val="both"/>
                              <w:rPr>
                                <w:sz w:val="16"/>
                                <w:szCs w:val="16"/>
                              </w:rPr>
                            </w:pPr>
                            <w:r w:rsidRPr="00F85E34">
                              <w:rPr>
                                <w:b/>
                                <w:sz w:val="16"/>
                                <w:szCs w:val="16"/>
                              </w:rPr>
                              <w:t>Levels 3 and 4</w:t>
                            </w:r>
                          </w:p>
                          <w:p w:rsidR="00F45327" w:rsidRPr="00F85E34" w:rsidRDefault="00F45327" w:rsidP="002355E2">
                            <w:pPr>
                              <w:spacing w:after="0" w:line="240" w:lineRule="auto"/>
                              <w:jc w:val="both"/>
                              <w:rPr>
                                <w:sz w:val="16"/>
                                <w:szCs w:val="16"/>
                              </w:rPr>
                            </w:pPr>
                            <w:r w:rsidRPr="00F85E34">
                              <w:rPr>
                                <w:sz w:val="16"/>
                                <w:szCs w:val="16"/>
                              </w:rPr>
                              <w:t>Quality and standards controlled, managed and assured by each College/University Partnership.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8" o:spid="_x0000_s1028" style="position:absolute;left:0;text-align:left;margin-left:306.6pt;margin-top:162.35pt;width:196.25pt;height:4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UYAIAALkEAAAOAAAAZHJzL2Uyb0RvYy54bWysVNuO0zAQfUfiHyy/07TZppeo6WrVZRHS&#10;AisWPsC1ncbgeIztNi1fz9hJSxfeEH2I5uYzlzPT1e2x1eQgnVdgKjoZjSmRhoNQZlfRr18e3iwo&#10;8YEZwTQYWdGT9PR2/frVqrOlzKEBLaQjCGJ82dmKNiHYMss8b2TL/AisNOiswbUsoOp2mXCsQ/RW&#10;Z/l4PMs6cMI64NJ7tN73TrpO+HUtefhU114GoiuKtYX0dem7jd9svWLlzjHbKD6Uwf6hipYpg0kv&#10;UPcsMLJ36i+oVnEHHuow4tBmUNeKy9QDdjMZ/9HNc8OsTL3gcLy9jMn/P1j+8fDkiBIVXeB4DGuR&#10;o7t9gJSa5NNFnFBnfYmBz/bJxR69fQT+3RMDm4aZnbxzDrpGMoF1TWJ89uJBVDw+JdvuAwjEZ4if&#10;hnWsXRsBcQzkmDg5XTiRx0A4GvPpMr+ZF5Rw9BXLeXFTpBSsPL+2zod3EloShYo62BvxGYlPKdjh&#10;0YdEjBi6Y+IbJXWrkeYD02Qym83mA+IQnLHyjJnaBa3Eg9I6KW633WhH8GlFH9JveOyvw7QhXUWX&#10;RV6kKl74/MlfEHCTBXSUaOYDGi+QMZXetzivPtOsGI+HZUUzrnRvTiYst4fEwaN4XUaaRVrxSM9b&#10;I5IcmNK9jPHaDHxFinqqw3F7TCuRx9YifVsQJyTQQX8/eO8oNOB+UtLh7VTU/9gzJ7GP9waXYDmZ&#10;TuOxJWVazHNU3LVne+1hhiNURQMlvbgJ/YHurVO7BjNN0hANxMWsVThvWF/VUD7eR+p/uOV4gNd6&#10;ivr9j7P+BQAA//8DAFBLAwQUAAYACAAAACEAAd6VdeIAAAAMAQAADwAAAGRycy9kb3ducmV2Lnht&#10;bEyPy07DMBBF90j8gzVIbFBrJ30QhUwqilSxQaW4sHfjIYmI7RC7bfh73BXsZjRHd84tVqPp2IkG&#10;3zqLkEwFMLKV062tEd73m0kGzAdlteqcJYQf8rAqr68KlWt3tm90kqFmMcT6XCE0IfQ5575qyCg/&#10;dT3ZePt0g1EhrkPN9aDOMdx0PBViyY1qbfzQqJ6eGqq+5NEgmPX3YvcyVpUMu9etVHcfa/m8Qby9&#10;GR8fgAUawx8MF/2oDmV0Orij1Z51CMtklkYUYZbO74FdCCEWcTogzJMsA14W/H+J8hcAAP//AwBQ&#10;SwECLQAUAAYACAAAACEAtoM4kv4AAADhAQAAEwAAAAAAAAAAAAAAAAAAAAAAW0NvbnRlbnRfVHlw&#10;ZXNdLnhtbFBLAQItABQABgAIAAAAIQA4/SH/1gAAAJQBAAALAAAAAAAAAAAAAAAAAC8BAABfcmVs&#10;cy8ucmVsc1BLAQItABQABgAIAAAAIQAss/QUYAIAALkEAAAOAAAAAAAAAAAAAAAAAC4CAABkcnMv&#10;ZTJvRG9jLnhtbFBLAQItABQABgAIAAAAIQAB3pV14gAAAAwBAAAPAAAAAAAAAAAAAAAAALoEAABk&#10;cnMvZG93bnJldi54bWxQSwUGAAAAAAQABADzAAAAyQUAAAAA&#10;" strokecolor="#a6a6a6">
                <v:textbox>
                  <w:txbxContent>
                    <w:p w:rsidR="00F45327" w:rsidRPr="00F85E34" w:rsidRDefault="00F45327" w:rsidP="002355E2">
                      <w:pPr>
                        <w:spacing w:after="0" w:line="240" w:lineRule="auto"/>
                        <w:jc w:val="both"/>
                        <w:rPr>
                          <w:sz w:val="16"/>
                          <w:szCs w:val="16"/>
                        </w:rPr>
                      </w:pPr>
                      <w:r w:rsidRPr="00F85E34">
                        <w:rPr>
                          <w:b/>
                          <w:sz w:val="16"/>
                          <w:szCs w:val="16"/>
                        </w:rPr>
                        <w:t>Levels 3 and 4</w:t>
                      </w:r>
                    </w:p>
                    <w:p w:rsidR="00F45327" w:rsidRPr="00F85E34" w:rsidRDefault="00F45327" w:rsidP="002355E2">
                      <w:pPr>
                        <w:spacing w:after="0" w:line="240" w:lineRule="auto"/>
                        <w:jc w:val="both"/>
                        <w:rPr>
                          <w:sz w:val="16"/>
                          <w:szCs w:val="16"/>
                        </w:rPr>
                      </w:pPr>
                      <w:r w:rsidRPr="00F85E34">
                        <w:rPr>
                          <w:sz w:val="16"/>
                          <w:szCs w:val="16"/>
                        </w:rPr>
                        <w:t>Quality and standards controlled, managed and assured by each College/University Partnership.</w:t>
                      </w:r>
                    </w:p>
                  </w:txbxContent>
                </v:textbox>
              </v:roundrect>
            </w:pict>
          </mc:Fallback>
        </mc:AlternateContent>
      </w:r>
      <w:r w:rsidR="00F85E34">
        <w:rPr>
          <w:rFonts w:cstheme="minorHAnsi"/>
          <w:noProof/>
          <w:sz w:val="20"/>
          <w:szCs w:val="20"/>
        </w:rPr>
        <w:drawing>
          <wp:inline distT="0" distB="0" distL="0" distR="0">
            <wp:extent cx="4225365" cy="2563906"/>
            <wp:effectExtent l="0" t="57150" r="0" b="122555"/>
            <wp:docPr id="9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62B73" w:rsidRPr="00625C83" w:rsidRDefault="00F13BE4" w:rsidP="00F85E34">
      <w:pPr>
        <w:spacing w:after="0" w:line="240" w:lineRule="auto"/>
        <w:ind w:left="567" w:hanging="567"/>
        <w:jc w:val="both"/>
        <w:rPr>
          <w:rFonts w:cstheme="minorHAnsi"/>
          <w:b/>
        </w:rPr>
      </w:pPr>
      <w:r w:rsidRPr="00625C83">
        <w:rPr>
          <w:rFonts w:cstheme="minorHAnsi"/>
          <w:b/>
        </w:rPr>
        <w:t>2</w:t>
      </w:r>
      <w:r w:rsidR="008620FC" w:rsidRPr="00625C83">
        <w:rPr>
          <w:rFonts w:cstheme="minorHAnsi"/>
          <w:b/>
        </w:rPr>
        <w:t>.2</w:t>
      </w:r>
      <w:r w:rsidR="008620FC" w:rsidRPr="00625C83">
        <w:rPr>
          <w:rFonts w:cstheme="minorHAnsi"/>
          <w:b/>
        </w:rPr>
        <w:tab/>
      </w:r>
      <w:r w:rsidRPr="00625C83">
        <w:rPr>
          <w:rFonts w:cstheme="minorHAnsi"/>
          <w:b/>
        </w:rPr>
        <w:t xml:space="preserve">Mechanisms for </w:t>
      </w:r>
      <w:r w:rsidR="005330A2" w:rsidRPr="00625C83">
        <w:rPr>
          <w:rFonts w:cstheme="minorHAnsi"/>
          <w:b/>
        </w:rPr>
        <w:t>Academic Governance</w:t>
      </w:r>
    </w:p>
    <w:p w:rsidR="00F85E34" w:rsidRDefault="00F85E34" w:rsidP="00F85E34">
      <w:pPr>
        <w:spacing w:after="0" w:line="240" w:lineRule="auto"/>
        <w:ind w:left="567"/>
        <w:jc w:val="both"/>
      </w:pPr>
    </w:p>
    <w:p w:rsidR="007E4304" w:rsidRDefault="005330A2" w:rsidP="00F85E34">
      <w:pPr>
        <w:spacing w:after="0" w:line="240" w:lineRule="auto"/>
        <w:ind w:left="567"/>
        <w:jc w:val="both"/>
      </w:pPr>
      <w:r>
        <w:t>The mechanisms for assuring academic standards and managing quality at a Navitas College involve tripartite linkages between Navitas, the College and the Partner University.  These are summarised in Figure 2</w:t>
      </w:r>
      <w:r w:rsidR="00F13BE4">
        <w:t xml:space="preserve"> below</w:t>
      </w:r>
      <w:r>
        <w:t>.</w:t>
      </w:r>
    </w:p>
    <w:p w:rsidR="00F13BE4" w:rsidRDefault="003018EA" w:rsidP="00F13BE4">
      <w:pPr>
        <w:keepNext/>
        <w:spacing w:after="0" w:line="240" w:lineRule="auto"/>
        <w:ind w:left="567"/>
        <w:jc w:val="both"/>
      </w:pPr>
      <w:r>
        <w:rPr>
          <w:noProof/>
        </w:rPr>
        <w:lastRenderedPageBreak/>
        <mc:AlternateContent>
          <mc:Choice Requires="wps">
            <w:drawing>
              <wp:anchor distT="0" distB="0" distL="114300" distR="114300" simplePos="0" relativeHeight="251670016" behindDoc="0" locked="0" layoutInCell="1" allowOverlap="1" wp14:anchorId="288A5790" wp14:editId="5E4DFAC4">
                <wp:simplePos x="0" y="0"/>
                <wp:positionH relativeFrom="column">
                  <wp:posOffset>1889760</wp:posOffset>
                </wp:positionH>
                <wp:positionV relativeFrom="paragraph">
                  <wp:posOffset>632460</wp:posOffset>
                </wp:positionV>
                <wp:extent cx="678180" cy="220980"/>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678180" cy="220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18EA" w:rsidRPr="003018EA" w:rsidRDefault="003018EA" w:rsidP="003018EA">
                            <w:pPr>
                              <w:rPr>
                                <w:sz w:val="18"/>
                                <w:szCs w:val="18"/>
                              </w:rPr>
                            </w:pPr>
                            <w:r w:rsidRPr="003018EA">
                              <w:rPr>
                                <w:sz w:val="18"/>
                                <w:szCs w:val="18"/>
                              </w:rPr>
                              <w:t xml:space="preserve">NVT </w:t>
                            </w:r>
                            <w:r>
                              <w:rPr>
                                <w:sz w:val="18"/>
                                <w:szCs w:val="18"/>
                              </w:rPr>
                              <w:t>OLT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A5790" id="_x0000_t202" coordsize="21600,21600" o:spt="202" path="m,l,21600r21600,l21600,xe">
                <v:stroke joinstyle="miter"/>
                <v:path gradientshapeok="t" o:connecttype="rect"/>
              </v:shapetype>
              <v:shape id="Text Box 5" o:spid="_x0000_s1029" type="#_x0000_t202" style="position:absolute;left:0;text-align:left;margin-left:148.8pt;margin-top:49.8pt;width:53.4pt;height:17.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711jAIAAJAFAAAOAAAAZHJzL2Uyb0RvYy54bWysVE1PGzEQvVfqf7B8L5sEAiHKBqUgqkoI&#10;UKHi7HjtxKrtcW0nu+mv79i7m6SUC1Uvu2PPmxnPm4/ZVWM02QofFNiSDk8GlAjLoVJ2VdLvz7ef&#10;JpSEyGzFNFhR0p0I9Gr+8cOsdlMxgjXoSniCTmyY1q6k6xjdtCgCXwvDwgk4YVEpwRsW8ehXReVZ&#10;jd6NLkaDwXlRg6+cBy5CwNubVknn2b+UgscHKYOIRJcU3xbz1+fvMn2L+YxNV565teLdM9g/vMIw&#10;ZTHo3tUNi4xsvPrLlVHcQwAZTziYAqRUXOQcMJvh4FU2T2vmRM4FyQluT1P4f275/fbRE1WVdEyJ&#10;ZQZL9CyaSD5DQ8aJndqFKYKeHMJig9dY5f4+4GVKupHepD+mQ1CPPO/23CZnHC/PLybDCWo4qkaj&#10;wSXK6L04GDsf4hcBhiShpB5Llxll27sQW2gPSbECaFXdKq3zIbWLuNaebBkWWsf8RHT+B0pbUuND&#10;TseD7NhCMm89a5vciNwwXbiUeJtgluJOi4TR9puQSFjO843YjHNh9/EzOqEkhnqPYYc/vOo9xm0e&#10;aJEjg417Y6Ms+Jx9nrADZdWPnjLZ4rE2R3knMTbLJnfKaV//JVQ7bAsP7VgFx28VFu+OhfjIPM4R&#10;1ht3Q3zAj9SA5EMnUbIG/+ut+4TH9kYtJTXOZUnDzw3zghL91WLjXw7PztIg58PZ+GKEB3+sWR5r&#10;7MZcA3bEELeQ41lM+Kh7UXowL7hCFikqqpjlGLuksRevY7stcAVxsVhkEI6uY/HOPjmeXCeWU2s+&#10;Ny/Mu65/Izb+PfQTzKav2rjFJksLi00EqXKPJ55bVjv+cezzlHQrKu2V43NGHRbp/DcAAAD//wMA&#10;UEsDBBQABgAIAAAAIQAQWWTp4QAAAAoBAAAPAAAAZHJzL2Rvd25yZXYueG1sTI9NT8MwDIbvSPyH&#10;yEhcEEtZy0ZL0wkhPiRurBuIW9aYtqJxqiZry7/HnOBkW370+nG+mW0nRhx860jB1SICgVQ501Kt&#10;YFc+Xt6A8EGT0Z0jVPCNHjbF6UmuM+MmesVxG2rBIeQzraAJoc+k9FWDVvuF65F49+kGqwOPQy3N&#10;oCcOt51cRtFKWt0SX2h0j/cNVl/bo1XwcVG/v/j5aT/F13H/8DyW6zdTKnV+Nt/dggg4hz8YfvVZ&#10;HQp2OrgjGS86Bct0vWJUQZpyZSCJkgTEgcmYG1nk8v8LxQ8AAAD//wMAUEsBAi0AFAAGAAgAAAAh&#10;ALaDOJL+AAAA4QEAABMAAAAAAAAAAAAAAAAAAAAAAFtDb250ZW50X1R5cGVzXS54bWxQSwECLQAU&#10;AAYACAAAACEAOP0h/9YAAACUAQAACwAAAAAAAAAAAAAAAAAvAQAAX3JlbHMvLnJlbHNQSwECLQAU&#10;AAYACAAAACEA8ve9dYwCAACQBQAADgAAAAAAAAAAAAAAAAAuAgAAZHJzL2Uyb0RvYy54bWxQSwEC&#10;LQAUAAYACAAAACEAEFlk6eEAAAAKAQAADwAAAAAAAAAAAAAAAADmBAAAZHJzL2Rvd25yZXYueG1s&#10;UEsFBgAAAAAEAAQA8wAAAPQFAAAAAA==&#10;" fillcolor="white [3201]" stroked="f" strokeweight=".5pt">
                <v:textbox>
                  <w:txbxContent>
                    <w:p w:rsidR="003018EA" w:rsidRPr="003018EA" w:rsidRDefault="003018EA" w:rsidP="003018EA">
                      <w:pPr>
                        <w:rPr>
                          <w:sz w:val="18"/>
                          <w:szCs w:val="18"/>
                        </w:rPr>
                      </w:pPr>
                      <w:r w:rsidRPr="003018EA">
                        <w:rPr>
                          <w:sz w:val="18"/>
                          <w:szCs w:val="18"/>
                        </w:rPr>
                        <w:t xml:space="preserve">NVT </w:t>
                      </w:r>
                      <w:r>
                        <w:rPr>
                          <w:sz w:val="18"/>
                          <w:szCs w:val="18"/>
                        </w:rPr>
                        <w:t>OLT</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1729740</wp:posOffset>
                </wp:positionH>
                <wp:positionV relativeFrom="paragraph">
                  <wp:posOffset>45720</wp:posOffset>
                </wp:positionV>
                <wp:extent cx="807720" cy="236220"/>
                <wp:effectExtent l="0" t="0" r="0" b="0"/>
                <wp:wrapNone/>
                <wp:docPr id="3" name="Text Box 3"/>
                <wp:cNvGraphicFramePr/>
                <a:graphic xmlns:a="http://schemas.openxmlformats.org/drawingml/2006/main">
                  <a:graphicData uri="http://schemas.microsoft.com/office/word/2010/wordprocessingShape">
                    <wps:wsp>
                      <wps:cNvSpPr txBox="1"/>
                      <wps:spPr>
                        <a:xfrm>
                          <a:off x="0" y="0"/>
                          <a:ext cx="80772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18EA" w:rsidRPr="003018EA" w:rsidRDefault="003018EA">
                            <w:pPr>
                              <w:rPr>
                                <w:sz w:val="18"/>
                                <w:szCs w:val="18"/>
                              </w:rPr>
                            </w:pPr>
                            <w:r w:rsidRPr="003018EA">
                              <w:rPr>
                                <w:sz w:val="18"/>
                                <w:szCs w:val="18"/>
                              </w:rPr>
                              <w:t>NVT UPE 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136.2pt;margin-top:3.6pt;width:63.6pt;height:1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b+iwIAAJAFAAAOAAAAZHJzL2Uyb0RvYy54bWysVEtv2zAMvg/YfxB0X51XHwviFFmLDgOK&#10;tlg79KzIUiJMEjVJiZ39+lKynWRdLx12sSnxIyl+fMwuG6PJVvigwJZ0eDKgRFgOlbKrkv54uvl0&#10;QUmIzFZMgxUl3YlAL+cfP8xqNxUjWIOuhCfoxIZp7Uq6jtFNiyLwtTAsnIATFpUSvGERj35VVJ7V&#10;6N3oYjQYnBU1+Mp54CIEvL1ulXSe/UspeLyXMohIdEnxbTF/ff4u07eYz9h05ZlbK949g/3DKwxT&#10;FoPuXV2zyMjGq79cGcU9BJDxhIMpQErFRc4BsxkOXmXzuGZO5FyQnOD2NIX/55bfbR88UVVJx5RY&#10;ZrBET6KJ5As0ZJzYqV2YIujRISw2eI1V7u8DXqakG+lN+mM6BPXI827PbXLG8fJicH4+Qg1H1Wh8&#10;NkIZvRcHY+dD/CrAkCSU1GPpMqNsextiC+0hKVYAraobpXU+pHYRV9qTLcNC65ifiM7/QGlL6pKe&#10;jU8H2bGFZN561ja5EblhunAp8TbBLMWdFgmj7XchkbCc5xuxGefC7uNndEJJDPUeww5/eNV7jNs8&#10;0CJHBhv3xkZZ8Dn7PGEHyqqfPWWyxWNtjvJOYmyWTe6USV//JVQ7bAsP7VgFx28UFu+WhfjAPM4R&#10;1ht3Q7zHj9SA5EMnUbIG//ut+4TH9kYtJTXOZUnDrw3zghL9zWLjfx5OJmmQ82FymnvKH2uWxxq7&#10;MVeAHTHELeR4FtHYR92L0oN5xhWySFFRxSzH2CWNvXgV222BK4iLxSKDcHQdi7f20fHkOrGcWvOp&#10;eWbedf0bsfHvoJ9gNn3Vxi02WVpYbCJIlXs88dyy2vGPY5+npFtRaa8cnzPqsEjnLwAAAP//AwBQ&#10;SwMEFAAGAAgAAAAhAHxoNk3gAAAACAEAAA8AAABkcnMvZG93bnJldi54bWxMj0tPhEAQhO8m/odJ&#10;m3gx7iDg4iLNxhgfiTcXH/E2y7RAZHoIMwv47x1PeqxUpeqrYruYXkw0us4ywsUqAkFcW91xg/BS&#10;3Z9fgXBesVa9ZUL4Jgfb8vioULm2Mz/TtPONCCXscoXQej/kUrq6JaPcyg7Ewfu0o1E+yLGRelRz&#10;KDe9jKNoLY3qOCy0aqDbluqv3cEgfJw1709ueXidk8tkuHucquxNV4inJ8vNNQhPi/8Lwy9+QIcy&#10;MO3tgbUTPUKcxWmIImQxiOAnm80axB4hTVOQZSH/Hyh/AAAA//8DAFBLAQItABQABgAIAAAAIQC2&#10;gziS/gAAAOEBAAATAAAAAAAAAAAAAAAAAAAAAABbQ29udGVudF9UeXBlc10ueG1sUEsBAi0AFAAG&#10;AAgAAAAhADj9If/WAAAAlAEAAAsAAAAAAAAAAAAAAAAALwEAAF9yZWxzLy5yZWxzUEsBAi0AFAAG&#10;AAgAAAAhANzkhv6LAgAAkAUAAA4AAAAAAAAAAAAAAAAALgIAAGRycy9lMm9Eb2MueG1sUEsBAi0A&#10;FAAGAAgAAAAhAHxoNk3gAAAACAEAAA8AAAAAAAAAAAAAAAAA5QQAAGRycy9kb3ducmV2LnhtbFBL&#10;BQYAAAAABAAEAPMAAADyBQAAAAA=&#10;" fillcolor="white [3201]" stroked="f" strokeweight=".5pt">
                <v:textbox>
                  <w:txbxContent>
                    <w:p w:rsidR="003018EA" w:rsidRPr="003018EA" w:rsidRDefault="003018EA">
                      <w:pPr>
                        <w:rPr>
                          <w:sz w:val="18"/>
                          <w:szCs w:val="18"/>
                        </w:rPr>
                      </w:pPr>
                      <w:r w:rsidRPr="003018EA">
                        <w:rPr>
                          <w:sz w:val="18"/>
                          <w:szCs w:val="18"/>
                        </w:rPr>
                        <w:t>NVT UPE ELT</w:t>
                      </w:r>
                    </w:p>
                  </w:txbxContent>
                </v:textbox>
              </v:shape>
            </w:pict>
          </mc:Fallback>
        </mc:AlternateContent>
      </w:r>
      <w:r w:rsidR="00773667">
        <w:fldChar w:fldCharType="begin"/>
      </w:r>
      <w:r w:rsidR="00773667">
        <w:instrText xml:space="preserve"> LINK Word.Document.12 "G:\\CPRs\\New docs\\Academic Gov diagram 2.docx" "" \a \p \f 0 </w:instrText>
      </w:r>
      <w:r w:rsidR="00773667">
        <w:fldChar w:fldCharType="separate"/>
      </w:r>
      <w:r w:rsidR="009731DE">
        <w:rPr>
          <w:noProof/>
        </w:rPr>
        <w:drawing>
          <wp:inline distT="0" distB="0" distL="0" distR="0">
            <wp:extent cx="6194425" cy="352806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4425" cy="3528060"/>
                    </a:xfrm>
                    <a:prstGeom prst="rect">
                      <a:avLst/>
                    </a:prstGeom>
                    <a:noFill/>
                    <a:ln>
                      <a:noFill/>
                    </a:ln>
                  </pic:spPr>
                </pic:pic>
              </a:graphicData>
            </a:graphic>
          </wp:inline>
        </w:drawing>
      </w:r>
      <w:r w:rsidR="00773667">
        <w:fldChar w:fldCharType="end"/>
      </w:r>
    </w:p>
    <w:p w:rsidR="00F13BE4" w:rsidRPr="00F13BE4" w:rsidRDefault="00F13BE4" w:rsidP="00F13BE4">
      <w:pPr>
        <w:pStyle w:val="Caption"/>
        <w:ind w:left="4962"/>
        <w:jc w:val="both"/>
        <w:rPr>
          <w:color w:val="auto"/>
          <w:sz w:val="22"/>
          <w:szCs w:val="22"/>
        </w:rPr>
      </w:pPr>
      <w:r w:rsidRPr="00F13BE4">
        <w:rPr>
          <w:color w:val="auto"/>
          <w:sz w:val="22"/>
          <w:szCs w:val="22"/>
        </w:rPr>
        <w:t xml:space="preserve">Figure </w:t>
      </w:r>
      <w:r w:rsidR="001233DD">
        <w:rPr>
          <w:color w:val="auto"/>
          <w:sz w:val="22"/>
          <w:szCs w:val="22"/>
        </w:rPr>
        <w:t>2</w:t>
      </w:r>
    </w:p>
    <w:p w:rsidR="00D45442" w:rsidRDefault="00D45442" w:rsidP="00037751">
      <w:pPr>
        <w:spacing w:after="0" w:line="240" w:lineRule="auto"/>
        <w:ind w:left="709" w:hanging="709"/>
        <w:jc w:val="both"/>
        <w:rPr>
          <w:rFonts w:cstheme="minorHAnsi"/>
          <w:b/>
        </w:rPr>
      </w:pPr>
    </w:p>
    <w:p w:rsidR="00AA483C" w:rsidRDefault="00C173DC" w:rsidP="00037751">
      <w:pPr>
        <w:spacing w:after="0" w:line="240" w:lineRule="auto"/>
        <w:ind w:left="709" w:hanging="709"/>
        <w:jc w:val="both"/>
        <w:rPr>
          <w:rFonts w:cstheme="minorHAnsi"/>
          <w:b/>
        </w:rPr>
      </w:pPr>
      <w:r w:rsidRPr="00AA483C">
        <w:rPr>
          <w:rFonts w:cstheme="minorHAnsi"/>
          <w:b/>
        </w:rPr>
        <w:t>3.</w:t>
      </w:r>
      <w:r w:rsidRPr="00AA483C">
        <w:rPr>
          <w:rFonts w:cstheme="minorHAnsi"/>
          <w:b/>
        </w:rPr>
        <w:tab/>
      </w:r>
      <w:r w:rsidR="00625C83" w:rsidRPr="00AA483C">
        <w:rPr>
          <w:rFonts w:cstheme="minorHAnsi"/>
          <w:b/>
        </w:rPr>
        <w:t>NAV</w:t>
      </w:r>
      <w:r w:rsidR="00625C83">
        <w:rPr>
          <w:rFonts w:cstheme="minorHAnsi"/>
          <w:b/>
        </w:rPr>
        <w:t>ITAS QUALITY ASSURANCE</w:t>
      </w:r>
    </w:p>
    <w:p w:rsidR="00AA483C" w:rsidRDefault="00AA483C" w:rsidP="00037751">
      <w:pPr>
        <w:spacing w:after="0" w:line="240" w:lineRule="auto"/>
        <w:ind w:left="709" w:hanging="709"/>
        <w:jc w:val="both"/>
        <w:rPr>
          <w:rFonts w:cstheme="minorHAnsi"/>
          <w:b/>
        </w:rPr>
      </w:pPr>
    </w:p>
    <w:p w:rsidR="00BB0F2C" w:rsidRPr="00AA483C" w:rsidRDefault="00AA483C" w:rsidP="00037751">
      <w:pPr>
        <w:spacing w:after="0" w:line="240" w:lineRule="auto"/>
        <w:ind w:left="709" w:hanging="709"/>
        <w:jc w:val="both"/>
        <w:rPr>
          <w:rFonts w:cstheme="minorHAnsi"/>
          <w:b/>
        </w:rPr>
      </w:pPr>
      <w:r>
        <w:rPr>
          <w:rFonts w:cstheme="minorHAnsi"/>
          <w:b/>
        </w:rPr>
        <w:t>3.1</w:t>
      </w:r>
      <w:r>
        <w:rPr>
          <w:rFonts w:cstheme="minorHAnsi"/>
          <w:b/>
        </w:rPr>
        <w:tab/>
      </w:r>
      <w:r w:rsidR="00325D02" w:rsidRPr="00AA483C">
        <w:rPr>
          <w:rFonts w:cstheme="minorHAnsi"/>
          <w:b/>
        </w:rPr>
        <w:t>Key bodies</w:t>
      </w:r>
      <w:r>
        <w:rPr>
          <w:rFonts w:cstheme="minorHAnsi"/>
          <w:b/>
        </w:rPr>
        <w:t xml:space="preserve"> and their roles</w:t>
      </w:r>
    </w:p>
    <w:p w:rsidR="00BB0F2C" w:rsidRDefault="00BB0F2C" w:rsidP="002355E2">
      <w:pPr>
        <w:spacing w:after="0" w:line="240" w:lineRule="auto"/>
        <w:ind w:left="720" w:hanging="720"/>
        <w:jc w:val="both"/>
        <w:rPr>
          <w:rFonts w:cstheme="minorHAnsi"/>
        </w:rPr>
      </w:pPr>
    </w:p>
    <w:p w:rsidR="00BB0F2C" w:rsidRDefault="00C173DC" w:rsidP="002355E2">
      <w:pPr>
        <w:spacing w:after="0" w:line="240" w:lineRule="auto"/>
        <w:ind w:left="720" w:hanging="720"/>
        <w:jc w:val="both"/>
        <w:rPr>
          <w:rFonts w:cstheme="minorHAnsi"/>
        </w:rPr>
      </w:pPr>
      <w:r>
        <w:rPr>
          <w:rFonts w:cstheme="minorHAnsi"/>
        </w:rPr>
        <w:t>3.1</w:t>
      </w:r>
      <w:r w:rsidR="00AA483C">
        <w:rPr>
          <w:rFonts w:cstheme="minorHAnsi"/>
        </w:rPr>
        <w:t>.1</w:t>
      </w:r>
      <w:r>
        <w:rPr>
          <w:rFonts w:cstheme="minorHAnsi"/>
        </w:rPr>
        <w:tab/>
      </w:r>
      <w:r w:rsidR="009731DE">
        <w:rPr>
          <w:rFonts w:cstheme="minorHAnsi"/>
          <w:u w:val="single"/>
        </w:rPr>
        <w:t>Navitas UPE</w:t>
      </w:r>
      <w:r w:rsidR="00863199" w:rsidRPr="00B4796F">
        <w:rPr>
          <w:rFonts w:cstheme="minorHAnsi"/>
          <w:u w:val="single"/>
        </w:rPr>
        <w:t xml:space="preserve"> </w:t>
      </w:r>
      <w:r w:rsidR="009731DE">
        <w:rPr>
          <w:rFonts w:cstheme="minorHAnsi"/>
          <w:u w:val="single"/>
        </w:rPr>
        <w:t>Executive Leadership Team</w:t>
      </w:r>
    </w:p>
    <w:p w:rsidR="00037751" w:rsidRDefault="00037751" w:rsidP="002355E2">
      <w:pPr>
        <w:spacing w:after="0" w:line="240" w:lineRule="auto"/>
        <w:ind w:left="720" w:hanging="720"/>
        <w:jc w:val="both"/>
        <w:rPr>
          <w:rFonts w:cstheme="minorHAnsi"/>
        </w:rPr>
      </w:pPr>
      <w:r>
        <w:rPr>
          <w:rFonts w:cstheme="minorHAnsi"/>
        </w:rPr>
        <w:tab/>
        <w:t xml:space="preserve">The </w:t>
      </w:r>
      <w:r w:rsidR="009731DE">
        <w:rPr>
          <w:rFonts w:cstheme="minorHAnsi"/>
        </w:rPr>
        <w:t>Executive Leadership Team</w:t>
      </w:r>
      <w:r>
        <w:rPr>
          <w:rFonts w:cstheme="minorHAnsi"/>
        </w:rPr>
        <w:t xml:space="preserve"> (</w:t>
      </w:r>
      <w:r w:rsidR="009731DE">
        <w:rPr>
          <w:rFonts w:cstheme="minorHAnsi"/>
        </w:rPr>
        <w:t>ELT</w:t>
      </w:r>
      <w:r>
        <w:rPr>
          <w:rFonts w:cstheme="minorHAnsi"/>
        </w:rPr>
        <w:t>) has oversight of all Navitas College</w:t>
      </w:r>
      <w:r w:rsidR="00325D02">
        <w:rPr>
          <w:rFonts w:cstheme="minorHAnsi"/>
        </w:rPr>
        <w:t>s</w:t>
      </w:r>
      <w:r>
        <w:rPr>
          <w:rFonts w:cstheme="minorHAnsi"/>
        </w:rPr>
        <w:t xml:space="preserve"> both in terms of operations and achievement of business targets, and in terms of quality assurance</w:t>
      </w:r>
      <w:r w:rsidR="00863199">
        <w:rPr>
          <w:rFonts w:cstheme="minorHAnsi"/>
        </w:rPr>
        <w:t>,</w:t>
      </w:r>
      <w:r>
        <w:rPr>
          <w:rFonts w:cstheme="minorHAnsi"/>
        </w:rPr>
        <w:t xml:space="preserve"> academic standards</w:t>
      </w:r>
      <w:r w:rsidR="00863199">
        <w:rPr>
          <w:rFonts w:cstheme="minorHAnsi"/>
        </w:rPr>
        <w:t xml:space="preserve"> and compliance</w:t>
      </w:r>
      <w:r>
        <w:rPr>
          <w:rFonts w:cstheme="minorHAnsi"/>
        </w:rPr>
        <w:t xml:space="preserve">.  The </w:t>
      </w:r>
      <w:r w:rsidR="009731DE">
        <w:rPr>
          <w:rFonts w:cstheme="minorHAnsi"/>
        </w:rPr>
        <w:t>ELT</w:t>
      </w:r>
      <w:r>
        <w:rPr>
          <w:rFonts w:cstheme="minorHAnsi"/>
        </w:rPr>
        <w:t xml:space="preserve"> establishes and manages the central structures which support and monitor college activity whilst maintaining and encouraging some autonomy for colleges to develop and enhance their provision.  The culture is one of feedback and sharing</w:t>
      </w:r>
      <w:r w:rsidR="00325D02">
        <w:rPr>
          <w:rFonts w:cstheme="minorHAnsi"/>
        </w:rPr>
        <w:t xml:space="preserve"> of good practice</w:t>
      </w:r>
      <w:r>
        <w:rPr>
          <w:rFonts w:cstheme="minorHAnsi"/>
        </w:rPr>
        <w:t>, and the mechanisms in place support and enable this culture.</w:t>
      </w:r>
      <w:r w:rsidR="002E6D9D">
        <w:rPr>
          <w:rFonts w:cstheme="minorHAnsi"/>
        </w:rPr>
        <w:t xml:space="preserve"> The </w:t>
      </w:r>
      <w:r w:rsidR="009731DE">
        <w:rPr>
          <w:rFonts w:cstheme="minorHAnsi"/>
        </w:rPr>
        <w:t>CEO UPE</w:t>
      </w:r>
      <w:r w:rsidR="002E6D9D">
        <w:rPr>
          <w:rFonts w:cstheme="minorHAnsi"/>
        </w:rPr>
        <w:t xml:space="preserve"> as chair of the </w:t>
      </w:r>
      <w:r w:rsidR="009731DE">
        <w:rPr>
          <w:rFonts w:cstheme="minorHAnsi"/>
        </w:rPr>
        <w:t>Navitas UPE</w:t>
      </w:r>
      <w:r w:rsidR="002E6D9D">
        <w:rPr>
          <w:rFonts w:cstheme="minorHAnsi"/>
        </w:rPr>
        <w:t xml:space="preserve"> </w:t>
      </w:r>
      <w:r w:rsidR="009731DE">
        <w:rPr>
          <w:rFonts w:cstheme="minorHAnsi"/>
        </w:rPr>
        <w:t>Executive Leadership Team</w:t>
      </w:r>
      <w:r w:rsidR="002E6D9D">
        <w:rPr>
          <w:rFonts w:cstheme="minorHAnsi"/>
        </w:rPr>
        <w:t xml:space="preserve"> is supported and advised by the </w:t>
      </w:r>
      <w:r w:rsidR="009731DE">
        <w:rPr>
          <w:rFonts w:cstheme="minorHAnsi"/>
        </w:rPr>
        <w:t>Navitas UPE</w:t>
      </w:r>
      <w:r w:rsidR="002E6D9D">
        <w:rPr>
          <w:rFonts w:cstheme="minorHAnsi"/>
        </w:rPr>
        <w:t xml:space="preserve"> </w:t>
      </w:r>
      <w:r w:rsidR="009731DE">
        <w:rPr>
          <w:rFonts w:cstheme="minorHAnsi"/>
        </w:rPr>
        <w:t>HRD, Navitas UPE GMMR, Navitas UPE FD,</w:t>
      </w:r>
      <w:r w:rsidR="002E6D9D">
        <w:rPr>
          <w:rFonts w:cstheme="minorHAnsi"/>
        </w:rPr>
        <w:t xml:space="preserve"> </w:t>
      </w:r>
      <w:r w:rsidR="009731DE">
        <w:rPr>
          <w:rFonts w:cstheme="minorHAnsi"/>
        </w:rPr>
        <w:t>Navitas UPE EGM</w:t>
      </w:r>
      <w:r w:rsidR="002E6D9D">
        <w:rPr>
          <w:rFonts w:cstheme="minorHAnsi"/>
        </w:rPr>
        <w:t xml:space="preserve"> (</w:t>
      </w:r>
      <w:r w:rsidR="001A783D">
        <w:rPr>
          <w:rFonts w:cstheme="minorHAnsi"/>
        </w:rPr>
        <w:t xml:space="preserve">See </w:t>
      </w:r>
      <w:r w:rsidR="002E6D9D">
        <w:rPr>
          <w:rFonts w:cstheme="minorHAnsi"/>
        </w:rPr>
        <w:t xml:space="preserve">Appendix </w:t>
      </w:r>
      <w:r w:rsidR="001A783D">
        <w:rPr>
          <w:rFonts w:cstheme="minorHAnsi"/>
        </w:rPr>
        <w:t>Two for Organigram</w:t>
      </w:r>
      <w:r w:rsidR="002E6D9D">
        <w:rPr>
          <w:rFonts w:cstheme="minorHAnsi"/>
        </w:rPr>
        <w:t>).</w:t>
      </w:r>
    </w:p>
    <w:p w:rsidR="002E6D9D" w:rsidRDefault="002E6D9D" w:rsidP="002355E2">
      <w:pPr>
        <w:spacing w:after="0" w:line="240" w:lineRule="auto"/>
        <w:ind w:left="720" w:hanging="720"/>
        <w:jc w:val="both"/>
        <w:rPr>
          <w:rFonts w:cstheme="minorHAnsi"/>
        </w:rPr>
      </w:pPr>
    </w:p>
    <w:p w:rsidR="00325D02" w:rsidRDefault="00325D02" w:rsidP="002355E2">
      <w:pPr>
        <w:spacing w:after="0" w:line="240" w:lineRule="auto"/>
        <w:ind w:left="720" w:hanging="720"/>
        <w:jc w:val="both"/>
        <w:rPr>
          <w:rFonts w:cstheme="minorHAnsi"/>
        </w:rPr>
      </w:pPr>
    </w:p>
    <w:p w:rsidR="00325D02" w:rsidRDefault="00325D02" w:rsidP="002355E2">
      <w:pPr>
        <w:spacing w:after="0" w:line="240" w:lineRule="auto"/>
        <w:ind w:left="720" w:hanging="720"/>
        <w:jc w:val="both"/>
        <w:rPr>
          <w:rFonts w:cstheme="minorHAnsi"/>
        </w:rPr>
      </w:pPr>
      <w:r>
        <w:rPr>
          <w:rFonts w:cstheme="minorHAnsi"/>
        </w:rPr>
        <w:t>3.</w:t>
      </w:r>
      <w:r w:rsidR="00AA483C">
        <w:rPr>
          <w:rFonts w:cstheme="minorHAnsi"/>
        </w:rPr>
        <w:t>1.</w:t>
      </w:r>
      <w:r>
        <w:rPr>
          <w:rFonts w:cstheme="minorHAnsi"/>
        </w:rPr>
        <w:t>2</w:t>
      </w:r>
      <w:r>
        <w:rPr>
          <w:rFonts w:cstheme="minorHAnsi"/>
        </w:rPr>
        <w:tab/>
      </w:r>
      <w:r w:rsidR="009731DE">
        <w:rPr>
          <w:rFonts w:cstheme="minorHAnsi"/>
          <w:u w:val="single"/>
        </w:rPr>
        <w:t>Navitas Operational Leadership Team</w:t>
      </w:r>
    </w:p>
    <w:p w:rsidR="00325D02" w:rsidRDefault="00325D02" w:rsidP="002355E2">
      <w:pPr>
        <w:spacing w:after="0" w:line="240" w:lineRule="auto"/>
        <w:ind w:left="720" w:hanging="720"/>
        <w:jc w:val="both"/>
        <w:rPr>
          <w:rFonts w:cstheme="minorHAnsi"/>
        </w:rPr>
      </w:pPr>
      <w:r>
        <w:rPr>
          <w:rFonts w:cstheme="minorHAnsi"/>
        </w:rPr>
        <w:tab/>
        <w:t xml:space="preserve">The </w:t>
      </w:r>
      <w:r w:rsidR="009731DE">
        <w:rPr>
          <w:rFonts w:cstheme="minorHAnsi"/>
        </w:rPr>
        <w:t>Navitas Operational Leadership Team</w:t>
      </w:r>
      <w:r>
        <w:rPr>
          <w:rFonts w:cstheme="minorHAnsi"/>
        </w:rPr>
        <w:t xml:space="preserve"> (N</w:t>
      </w:r>
      <w:r w:rsidR="009731DE">
        <w:rPr>
          <w:rFonts w:cstheme="minorHAnsi"/>
        </w:rPr>
        <w:t>OLT</w:t>
      </w:r>
      <w:r>
        <w:rPr>
          <w:rFonts w:cstheme="minorHAnsi"/>
        </w:rPr>
        <w:t xml:space="preserve">) comprises members of the </w:t>
      </w:r>
      <w:r w:rsidR="009731DE">
        <w:rPr>
          <w:rFonts w:cstheme="minorHAnsi"/>
        </w:rPr>
        <w:t>ELT</w:t>
      </w:r>
      <w:r>
        <w:rPr>
          <w:rFonts w:cstheme="minorHAnsi"/>
        </w:rPr>
        <w:t xml:space="preserve"> plus all the College Director/Principals (CDPs).  Its role is </w:t>
      </w:r>
      <w:r w:rsidR="00E01F2E">
        <w:rPr>
          <w:rFonts w:cstheme="minorHAnsi"/>
        </w:rPr>
        <w:t xml:space="preserve">to provide a </w:t>
      </w:r>
      <w:r w:rsidR="00202B0D">
        <w:rPr>
          <w:rFonts w:cstheme="minorHAnsi"/>
        </w:rPr>
        <w:t>quarterly</w:t>
      </w:r>
      <w:r w:rsidR="00E01F2E">
        <w:rPr>
          <w:rFonts w:cstheme="minorHAnsi"/>
        </w:rPr>
        <w:t>, f</w:t>
      </w:r>
      <w:r w:rsidR="00202B0D">
        <w:rPr>
          <w:rFonts w:cstheme="minorHAnsi"/>
        </w:rPr>
        <w:t>ace to face</w:t>
      </w:r>
      <w:r w:rsidR="00E01F2E">
        <w:rPr>
          <w:rFonts w:cstheme="minorHAnsi"/>
        </w:rPr>
        <w:t xml:space="preserve"> forum for College Directors and the Corporate Services Team to meet </w:t>
      </w:r>
      <w:r w:rsidR="00202B0D">
        <w:rPr>
          <w:rFonts w:cstheme="minorHAnsi"/>
        </w:rPr>
        <w:t xml:space="preserve">to review the activities of the College network against the Quarterly Reports and QAA Action Plan; consider the effectiveness of the ‘best practice’ implementation programme; review the operational effectiveness of systems and processes across the UK College network; and report/feedback on matters of strategic importance for the </w:t>
      </w:r>
      <w:r w:rsidR="009731DE">
        <w:rPr>
          <w:rFonts w:cstheme="minorHAnsi"/>
        </w:rPr>
        <w:t>ELT</w:t>
      </w:r>
      <w:r w:rsidR="00202B0D">
        <w:rPr>
          <w:rFonts w:cstheme="minorHAnsi"/>
        </w:rPr>
        <w:t xml:space="preserve"> to consider</w:t>
      </w:r>
      <w:r w:rsidR="002E6D9D">
        <w:rPr>
          <w:rFonts w:cstheme="minorHAnsi"/>
        </w:rPr>
        <w:t xml:space="preserve"> (See Appendix Two</w:t>
      </w:r>
      <w:r w:rsidR="001A783D">
        <w:rPr>
          <w:rFonts w:cstheme="minorHAnsi"/>
        </w:rPr>
        <w:t xml:space="preserve"> for NSMT Organigram</w:t>
      </w:r>
      <w:r w:rsidR="002E6D9D">
        <w:rPr>
          <w:rFonts w:cstheme="minorHAnsi"/>
        </w:rPr>
        <w:t>)</w:t>
      </w:r>
      <w:r w:rsidR="00202B0D">
        <w:rPr>
          <w:rFonts w:cstheme="minorHAnsi"/>
        </w:rPr>
        <w:t>.</w:t>
      </w:r>
      <w:r w:rsidR="002E6D9D">
        <w:rPr>
          <w:rFonts w:cstheme="minorHAnsi"/>
        </w:rPr>
        <w:t xml:space="preserve"> </w:t>
      </w:r>
    </w:p>
    <w:p w:rsidR="00325D02" w:rsidRDefault="002E6D9D" w:rsidP="002355E2">
      <w:pPr>
        <w:spacing w:after="0" w:line="240" w:lineRule="auto"/>
        <w:ind w:left="720" w:hanging="720"/>
        <w:jc w:val="both"/>
        <w:rPr>
          <w:rFonts w:cstheme="minorHAnsi"/>
        </w:rPr>
      </w:pPr>
      <w:r>
        <w:rPr>
          <w:rFonts w:cstheme="minorHAnsi"/>
        </w:rPr>
        <w:tab/>
      </w:r>
    </w:p>
    <w:p w:rsidR="00325D02" w:rsidRDefault="00325D02" w:rsidP="002355E2">
      <w:pPr>
        <w:spacing w:after="0" w:line="240" w:lineRule="auto"/>
        <w:ind w:left="720" w:hanging="720"/>
        <w:jc w:val="both"/>
        <w:rPr>
          <w:rFonts w:cstheme="minorHAnsi"/>
        </w:rPr>
      </w:pPr>
    </w:p>
    <w:p w:rsidR="00325D02" w:rsidRDefault="00325D02" w:rsidP="002355E2">
      <w:pPr>
        <w:spacing w:after="0" w:line="240" w:lineRule="auto"/>
        <w:ind w:left="720" w:hanging="720"/>
        <w:jc w:val="both"/>
        <w:rPr>
          <w:rFonts w:cstheme="minorHAnsi"/>
        </w:rPr>
      </w:pPr>
      <w:r>
        <w:rPr>
          <w:rFonts w:cstheme="minorHAnsi"/>
        </w:rPr>
        <w:t>3.</w:t>
      </w:r>
      <w:r w:rsidR="00AA483C">
        <w:rPr>
          <w:rFonts w:cstheme="minorHAnsi"/>
        </w:rPr>
        <w:t>1.3</w:t>
      </w:r>
      <w:r>
        <w:rPr>
          <w:rFonts w:cstheme="minorHAnsi"/>
        </w:rPr>
        <w:tab/>
      </w:r>
      <w:r w:rsidRPr="002A457F">
        <w:rPr>
          <w:rFonts w:cstheme="minorHAnsi"/>
          <w:u w:val="single"/>
        </w:rPr>
        <w:t>Navitas Learning and Teaching Committee</w:t>
      </w:r>
    </w:p>
    <w:p w:rsidR="002A457F" w:rsidRPr="002A457F" w:rsidRDefault="002A457F" w:rsidP="002A457F">
      <w:pPr>
        <w:spacing w:after="0" w:line="240" w:lineRule="auto"/>
        <w:ind w:left="709"/>
        <w:jc w:val="both"/>
        <w:rPr>
          <w:rFonts w:cs="Arial"/>
        </w:rPr>
      </w:pPr>
      <w:r>
        <w:rPr>
          <w:rFonts w:cs="Arial"/>
        </w:rPr>
        <w:t>The aim of the Navitas</w:t>
      </w:r>
      <w:r w:rsidRPr="002A457F">
        <w:rPr>
          <w:rFonts w:cs="Arial"/>
        </w:rPr>
        <w:t xml:space="preserve"> Learning and Teaching Committee is to ensure openness and transparency </w:t>
      </w:r>
      <w:r>
        <w:rPr>
          <w:rFonts w:cs="Arial"/>
        </w:rPr>
        <w:t xml:space="preserve">across the College network </w:t>
      </w:r>
      <w:r w:rsidRPr="002A457F">
        <w:rPr>
          <w:rFonts w:cs="Arial"/>
        </w:rPr>
        <w:t xml:space="preserve">in all matters concerning </w:t>
      </w:r>
      <w:r>
        <w:rPr>
          <w:rFonts w:cs="Arial"/>
        </w:rPr>
        <w:t>the student learning experience and</w:t>
      </w:r>
      <w:r w:rsidRPr="002A457F">
        <w:rPr>
          <w:rFonts w:cs="Arial"/>
        </w:rPr>
        <w:t xml:space="preserve"> academic performance</w:t>
      </w:r>
      <w:r>
        <w:rPr>
          <w:rFonts w:cs="Arial"/>
        </w:rPr>
        <w:t xml:space="preserve">. </w:t>
      </w:r>
      <w:r w:rsidRPr="002A457F">
        <w:rPr>
          <w:rFonts w:cs="Arial"/>
        </w:rPr>
        <w:t xml:space="preserve"> </w:t>
      </w:r>
      <w:r>
        <w:rPr>
          <w:rFonts w:cs="Arial"/>
        </w:rPr>
        <w:t xml:space="preserve">Its </w:t>
      </w:r>
      <w:r w:rsidRPr="002A457F">
        <w:rPr>
          <w:rFonts w:cs="Arial"/>
        </w:rPr>
        <w:t xml:space="preserve">objective is to </w:t>
      </w:r>
      <w:r>
        <w:rPr>
          <w:rFonts w:cs="Arial"/>
        </w:rPr>
        <w:t>provide effective</w:t>
      </w:r>
      <w:r w:rsidRPr="002A457F">
        <w:rPr>
          <w:rFonts w:cs="Arial"/>
        </w:rPr>
        <w:t xml:space="preserve"> support </w:t>
      </w:r>
      <w:r>
        <w:rPr>
          <w:rFonts w:cs="Arial"/>
        </w:rPr>
        <w:t xml:space="preserve">for </w:t>
      </w:r>
      <w:r w:rsidRPr="002A457F">
        <w:rPr>
          <w:rFonts w:cs="Arial"/>
        </w:rPr>
        <w:t xml:space="preserve">the </w:t>
      </w:r>
      <w:r>
        <w:rPr>
          <w:rFonts w:cs="Arial"/>
        </w:rPr>
        <w:t>implementation of the</w:t>
      </w:r>
      <w:r w:rsidRPr="002A457F">
        <w:rPr>
          <w:rFonts w:cs="Arial"/>
        </w:rPr>
        <w:t xml:space="preserve"> Learning and Teaching Strategy </w:t>
      </w:r>
      <w:r>
        <w:rPr>
          <w:rFonts w:cs="Arial"/>
        </w:rPr>
        <w:t xml:space="preserve">and </w:t>
      </w:r>
      <w:r w:rsidRPr="002A457F">
        <w:rPr>
          <w:rFonts w:cs="Arial"/>
        </w:rPr>
        <w:t>on</w:t>
      </w:r>
      <w:r>
        <w:rPr>
          <w:rFonts w:cs="Arial"/>
        </w:rPr>
        <w:t>-</w:t>
      </w:r>
      <w:r w:rsidRPr="002A457F">
        <w:rPr>
          <w:rFonts w:cs="Arial"/>
        </w:rPr>
        <w:t>go</w:t>
      </w:r>
      <w:r>
        <w:rPr>
          <w:rFonts w:cs="Arial"/>
        </w:rPr>
        <w:t>ing enhancement (see NPR QS4)</w:t>
      </w:r>
    </w:p>
    <w:p w:rsidR="002A457F" w:rsidRPr="002A457F" w:rsidRDefault="002A457F" w:rsidP="002A457F">
      <w:pPr>
        <w:spacing w:after="0" w:line="240" w:lineRule="auto"/>
        <w:ind w:left="709"/>
        <w:jc w:val="both"/>
        <w:rPr>
          <w:rFonts w:cs="Arial"/>
        </w:rPr>
      </w:pPr>
    </w:p>
    <w:p w:rsidR="002A457F" w:rsidRPr="002A457F" w:rsidRDefault="003C5C63" w:rsidP="003C5C63">
      <w:pPr>
        <w:spacing w:after="0" w:line="240" w:lineRule="auto"/>
        <w:ind w:left="720" w:hanging="11"/>
        <w:jc w:val="both"/>
        <w:rPr>
          <w:rFonts w:eastAsia="Times New Roman" w:cs="Arial"/>
          <w:lang w:val="en-AU" w:eastAsia="en-AU"/>
        </w:rPr>
      </w:pPr>
      <w:r>
        <w:rPr>
          <w:rFonts w:eastAsia="Times New Roman" w:cs="Arial"/>
          <w:lang w:val="en-AU" w:eastAsia="en-AU"/>
        </w:rPr>
        <w:t xml:space="preserve">The committee is chaired by </w:t>
      </w:r>
      <w:r w:rsidRPr="002A457F">
        <w:rPr>
          <w:rFonts w:eastAsia="Times New Roman" w:cs="Arial"/>
          <w:lang w:val="en-AU" w:eastAsia="en-AU"/>
        </w:rPr>
        <w:t xml:space="preserve">the </w:t>
      </w:r>
      <w:r w:rsidR="009731DE">
        <w:rPr>
          <w:rFonts w:eastAsia="Times New Roman" w:cs="Arial"/>
          <w:lang w:val="en-AU" w:eastAsia="en-AU"/>
        </w:rPr>
        <w:t>Executive General Manager</w:t>
      </w:r>
      <w:r w:rsidRPr="002A457F">
        <w:rPr>
          <w:rFonts w:eastAsia="Times New Roman" w:cs="Arial"/>
          <w:lang w:val="en-AU" w:eastAsia="en-AU"/>
        </w:rPr>
        <w:t xml:space="preserve"> </w:t>
      </w:r>
      <w:r>
        <w:rPr>
          <w:rFonts w:eastAsia="Times New Roman" w:cs="Arial"/>
          <w:lang w:val="en-AU" w:eastAsia="en-AU"/>
        </w:rPr>
        <w:t>and t</w:t>
      </w:r>
      <w:r w:rsidRPr="002A457F">
        <w:rPr>
          <w:rFonts w:eastAsia="Times New Roman" w:cs="Arial"/>
          <w:lang w:val="en-AU" w:eastAsia="en-AU"/>
        </w:rPr>
        <w:t xml:space="preserve">he Vice Chair </w:t>
      </w:r>
      <w:r>
        <w:rPr>
          <w:rFonts w:eastAsia="Times New Roman" w:cs="Arial"/>
          <w:lang w:val="en-AU" w:eastAsia="en-AU"/>
        </w:rPr>
        <w:t>is</w:t>
      </w:r>
      <w:r w:rsidRPr="002A457F">
        <w:rPr>
          <w:rFonts w:eastAsia="Times New Roman" w:cs="Arial"/>
          <w:lang w:val="en-AU" w:eastAsia="en-AU"/>
        </w:rPr>
        <w:t xml:space="preserve"> the </w:t>
      </w:r>
      <w:r w:rsidR="00202B0D">
        <w:rPr>
          <w:rFonts w:eastAsia="Times New Roman" w:cs="Arial"/>
          <w:lang w:val="en-AU" w:eastAsia="en-AU"/>
        </w:rPr>
        <w:t xml:space="preserve">Executive </w:t>
      </w:r>
      <w:r w:rsidRPr="002A457F">
        <w:rPr>
          <w:rFonts w:eastAsia="Times New Roman" w:cs="Arial"/>
          <w:lang w:val="en-AU" w:eastAsia="en-AU"/>
        </w:rPr>
        <w:t>General Manage</w:t>
      </w:r>
      <w:r>
        <w:rPr>
          <w:rFonts w:eastAsia="Times New Roman" w:cs="Arial"/>
          <w:lang w:val="en-AU" w:eastAsia="en-AU"/>
        </w:rPr>
        <w:t xml:space="preserve">r of </w:t>
      </w:r>
      <w:r w:rsidR="009731DE">
        <w:rPr>
          <w:rFonts w:eastAsia="Times New Roman" w:cs="Arial"/>
          <w:lang w:val="en-AU" w:eastAsia="en-AU"/>
        </w:rPr>
        <w:t>Navitas UPE</w:t>
      </w:r>
      <w:r w:rsidRPr="002A457F">
        <w:rPr>
          <w:rFonts w:eastAsia="Times New Roman" w:cs="Arial"/>
          <w:lang w:val="en-AU" w:eastAsia="en-AU"/>
        </w:rPr>
        <w:t xml:space="preserve">.  </w:t>
      </w:r>
      <w:r>
        <w:rPr>
          <w:rFonts w:eastAsia="Times New Roman" w:cs="Arial"/>
          <w:lang w:val="en-AU" w:eastAsia="en-AU"/>
        </w:rPr>
        <w:t>Membership of t</w:t>
      </w:r>
      <w:r w:rsidR="002A457F" w:rsidRPr="002A457F">
        <w:rPr>
          <w:rFonts w:eastAsia="Times New Roman" w:cs="Arial"/>
          <w:lang w:val="en-AU" w:eastAsia="en-AU"/>
        </w:rPr>
        <w:t xml:space="preserve">he Committee </w:t>
      </w:r>
      <w:r>
        <w:rPr>
          <w:rFonts w:eastAsia="Times New Roman" w:cs="Arial"/>
          <w:lang w:val="en-AU" w:eastAsia="en-AU"/>
        </w:rPr>
        <w:t>includes</w:t>
      </w:r>
      <w:r w:rsidR="002A457F" w:rsidRPr="002A457F">
        <w:rPr>
          <w:rFonts w:eastAsia="Times New Roman" w:cs="Arial"/>
          <w:lang w:val="en-AU" w:eastAsia="en-AU"/>
        </w:rPr>
        <w:t xml:space="preserve"> </w:t>
      </w:r>
      <w:r>
        <w:rPr>
          <w:rFonts w:eastAsia="Times New Roman" w:cs="Arial"/>
          <w:lang w:val="en-AU" w:eastAsia="en-AU"/>
        </w:rPr>
        <w:t>all</w:t>
      </w:r>
      <w:r w:rsidR="002A457F" w:rsidRPr="002A457F">
        <w:rPr>
          <w:rFonts w:eastAsia="Times New Roman" w:cs="Arial"/>
          <w:lang w:val="en-AU" w:eastAsia="en-AU"/>
        </w:rPr>
        <w:t xml:space="preserve"> </w:t>
      </w:r>
      <w:r>
        <w:rPr>
          <w:rFonts w:eastAsia="Times New Roman" w:cs="Arial"/>
          <w:lang w:val="en-AU" w:eastAsia="en-AU"/>
        </w:rPr>
        <w:t>CDPs, and i</w:t>
      </w:r>
      <w:r w:rsidR="002A457F" w:rsidRPr="002A457F">
        <w:rPr>
          <w:rFonts w:eastAsia="Times New Roman" w:cs="Arial"/>
          <w:iCs/>
          <w:lang w:val="en-AU" w:eastAsia="en-AU"/>
        </w:rPr>
        <w:t xml:space="preserve">nvited members </w:t>
      </w:r>
      <w:r w:rsidR="002A457F" w:rsidRPr="002A457F">
        <w:rPr>
          <w:rFonts w:eastAsia="Times New Roman" w:cs="Arial"/>
          <w:lang w:val="en-AU" w:eastAsia="en-AU"/>
        </w:rPr>
        <w:t>determined by the Chair where appropriate.</w:t>
      </w:r>
    </w:p>
    <w:p w:rsidR="002A457F" w:rsidRPr="002A457F" w:rsidRDefault="002A457F" w:rsidP="002A457F">
      <w:pPr>
        <w:spacing w:after="0" w:line="240" w:lineRule="auto"/>
        <w:rPr>
          <w:rFonts w:eastAsia="Times New Roman" w:cs="Arial"/>
          <w:b/>
          <w:bCs/>
          <w:lang w:eastAsia="en-US"/>
        </w:rPr>
      </w:pPr>
    </w:p>
    <w:p w:rsidR="00325D02" w:rsidRDefault="00325D02" w:rsidP="002355E2">
      <w:pPr>
        <w:spacing w:after="0" w:line="240" w:lineRule="auto"/>
        <w:ind w:left="720" w:hanging="720"/>
        <w:jc w:val="both"/>
        <w:rPr>
          <w:rFonts w:cstheme="minorHAnsi"/>
        </w:rPr>
      </w:pPr>
      <w:r>
        <w:rPr>
          <w:rFonts w:cstheme="minorHAnsi"/>
        </w:rPr>
        <w:lastRenderedPageBreak/>
        <w:tab/>
      </w:r>
      <w:r w:rsidR="003C5C63">
        <w:rPr>
          <w:rFonts w:cstheme="minorHAnsi"/>
        </w:rPr>
        <w:t>The committee</w:t>
      </w:r>
      <w:r>
        <w:rPr>
          <w:rFonts w:cstheme="minorHAnsi"/>
        </w:rPr>
        <w:t xml:space="preserve"> meets </w:t>
      </w:r>
      <w:r w:rsidR="003C5C63" w:rsidRPr="002A457F">
        <w:rPr>
          <w:rFonts w:eastAsia="Times New Roman" w:cs="Helvetica"/>
          <w:lang w:eastAsia="en-US"/>
        </w:rPr>
        <w:t xml:space="preserve">at least three times each year, </w:t>
      </w:r>
      <w:r w:rsidR="00E802B3">
        <w:rPr>
          <w:rFonts w:eastAsia="Times New Roman" w:cs="Helvetica"/>
          <w:lang w:eastAsia="en-US"/>
        </w:rPr>
        <w:t xml:space="preserve">typically </w:t>
      </w:r>
      <w:r w:rsidR="003C5C63" w:rsidRPr="002A457F">
        <w:rPr>
          <w:rFonts w:eastAsia="Times New Roman" w:cs="Helvetica"/>
          <w:lang w:eastAsia="en-US"/>
        </w:rPr>
        <w:t>April, August and November</w:t>
      </w:r>
      <w:r w:rsidR="00E802B3">
        <w:rPr>
          <w:rFonts w:eastAsia="Times New Roman" w:cs="Helvetica"/>
          <w:lang w:eastAsia="en-US"/>
        </w:rPr>
        <w:t>.</w:t>
      </w:r>
    </w:p>
    <w:p w:rsidR="00325D02" w:rsidRDefault="00325D02" w:rsidP="002355E2">
      <w:pPr>
        <w:spacing w:after="0" w:line="240" w:lineRule="auto"/>
        <w:ind w:left="720" w:hanging="720"/>
        <w:jc w:val="both"/>
        <w:rPr>
          <w:rFonts w:cstheme="minorHAnsi"/>
        </w:rPr>
      </w:pPr>
    </w:p>
    <w:p w:rsidR="00325D02" w:rsidRPr="003C5C63" w:rsidRDefault="00325D02" w:rsidP="002355E2">
      <w:pPr>
        <w:spacing w:after="0" w:line="240" w:lineRule="auto"/>
        <w:ind w:left="720" w:hanging="720"/>
        <w:jc w:val="both"/>
        <w:rPr>
          <w:rFonts w:cstheme="minorHAnsi"/>
          <w:u w:val="single"/>
        </w:rPr>
      </w:pPr>
      <w:r>
        <w:rPr>
          <w:rFonts w:cstheme="minorHAnsi"/>
        </w:rPr>
        <w:t>3.</w:t>
      </w:r>
      <w:r w:rsidR="00AA483C">
        <w:rPr>
          <w:rFonts w:cstheme="minorHAnsi"/>
        </w:rPr>
        <w:t>1.4</w:t>
      </w:r>
      <w:r>
        <w:rPr>
          <w:rFonts w:cstheme="minorHAnsi"/>
        </w:rPr>
        <w:tab/>
      </w:r>
      <w:r w:rsidRPr="003C5C63">
        <w:rPr>
          <w:rFonts w:cstheme="minorHAnsi"/>
          <w:u w:val="single"/>
        </w:rPr>
        <w:t>Navitas Learning and Teaching Forum</w:t>
      </w:r>
    </w:p>
    <w:p w:rsidR="003C5C63" w:rsidRPr="003C5C63" w:rsidRDefault="00325D02" w:rsidP="003C5C63">
      <w:pPr>
        <w:pStyle w:val="Default"/>
        <w:ind w:left="720" w:hanging="720"/>
        <w:rPr>
          <w:rFonts w:asciiTheme="minorHAnsi" w:eastAsiaTheme="minorHAnsi" w:hAnsiTheme="minorHAnsi" w:cstheme="minorHAnsi"/>
          <w:sz w:val="22"/>
          <w:szCs w:val="22"/>
          <w:lang w:eastAsia="en-US"/>
        </w:rPr>
      </w:pPr>
      <w:r w:rsidRPr="003C5C63">
        <w:rPr>
          <w:rFonts w:cstheme="minorHAnsi"/>
          <w:sz w:val="22"/>
          <w:szCs w:val="22"/>
        </w:rPr>
        <w:tab/>
      </w:r>
      <w:r w:rsidR="003C5C63" w:rsidRPr="003C5C63">
        <w:rPr>
          <w:rFonts w:asciiTheme="minorHAnsi" w:eastAsiaTheme="minorHAnsi" w:hAnsiTheme="minorHAnsi"/>
          <w:sz w:val="22"/>
          <w:szCs w:val="22"/>
          <w:lang w:eastAsia="en-US"/>
        </w:rPr>
        <w:t xml:space="preserve">The </w:t>
      </w:r>
      <w:r w:rsidR="009731DE">
        <w:rPr>
          <w:rFonts w:asciiTheme="minorHAnsi" w:eastAsiaTheme="minorHAnsi" w:hAnsiTheme="minorHAnsi"/>
          <w:sz w:val="22"/>
          <w:szCs w:val="22"/>
          <w:lang w:eastAsia="en-US"/>
        </w:rPr>
        <w:t>Navitas UPE</w:t>
      </w:r>
      <w:r w:rsidR="003C5C63" w:rsidRPr="003C5C63">
        <w:rPr>
          <w:rFonts w:asciiTheme="minorHAnsi" w:eastAsiaTheme="minorHAnsi" w:hAnsiTheme="minorHAnsi"/>
          <w:sz w:val="22"/>
          <w:szCs w:val="22"/>
          <w:lang w:eastAsia="en-US"/>
        </w:rPr>
        <w:t xml:space="preserve"> Learning and Teaching Forum </w:t>
      </w:r>
      <w:r w:rsidR="0067123D">
        <w:rPr>
          <w:rFonts w:asciiTheme="minorHAnsi" w:eastAsiaTheme="minorHAnsi" w:hAnsiTheme="minorHAnsi"/>
          <w:sz w:val="22"/>
          <w:szCs w:val="22"/>
          <w:lang w:eastAsia="en-US"/>
        </w:rPr>
        <w:t>is responsible to the Le</w:t>
      </w:r>
      <w:r w:rsidR="003C5C63" w:rsidRPr="003C5C63">
        <w:rPr>
          <w:rFonts w:asciiTheme="minorHAnsi" w:eastAsiaTheme="minorHAnsi" w:hAnsiTheme="minorHAnsi"/>
          <w:sz w:val="22"/>
          <w:szCs w:val="22"/>
          <w:lang w:eastAsia="en-US"/>
        </w:rPr>
        <w:t>a</w:t>
      </w:r>
      <w:r w:rsidR="0067123D">
        <w:rPr>
          <w:rFonts w:asciiTheme="minorHAnsi" w:eastAsiaTheme="minorHAnsi" w:hAnsiTheme="minorHAnsi"/>
          <w:sz w:val="22"/>
          <w:szCs w:val="22"/>
          <w:lang w:eastAsia="en-US"/>
        </w:rPr>
        <w:t>rning and Teaching Committee, and its aims a</w:t>
      </w:r>
      <w:r w:rsidR="003C5C63" w:rsidRPr="003C5C63">
        <w:rPr>
          <w:rFonts w:asciiTheme="minorHAnsi" w:eastAsiaTheme="minorHAnsi" w:hAnsiTheme="minorHAnsi"/>
          <w:sz w:val="22"/>
          <w:szCs w:val="22"/>
          <w:lang w:eastAsia="en-US"/>
        </w:rPr>
        <w:t>re to consolidate and disseminate good academic practices; and inform and al</w:t>
      </w:r>
      <w:r w:rsidR="003C5C63">
        <w:rPr>
          <w:rFonts w:asciiTheme="minorHAnsi" w:eastAsiaTheme="minorHAnsi" w:hAnsiTheme="minorHAnsi"/>
          <w:sz w:val="22"/>
          <w:szCs w:val="22"/>
          <w:lang w:eastAsia="en-US"/>
        </w:rPr>
        <w:t>ign operations to the Navitas Learning and Teaching Strategy</w:t>
      </w:r>
      <w:r w:rsidR="003C5C63" w:rsidRPr="003C5C63">
        <w:rPr>
          <w:rFonts w:asciiTheme="minorHAnsi" w:eastAsiaTheme="minorHAnsi" w:hAnsiTheme="minorHAnsi"/>
          <w:sz w:val="22"/>
          <w:szCs w:val="22"/>
          <w:lang w:eastAsia="en-US"/>
        </w:rPr>
        <w:t xml:space="preserve"> </w:t>
      </w:r>
      <w:r w:rsidR="003C5C63">
        <w:rPr>
          <w:rFonts w:asciiTheme="minorHAnsi" w:eastAsiaTheme="minorHAnsi" w:hAnsiTheme="minorHAnsi"/>
          <w:sz w:val="22"/>
          <w:szCs w:val="22"/>
          <w:lang w:eastAsia="en-US"/>
        </w:rPr>
        <w:t xml:space="preserve">across the College network </w:t>
      </w:r>
      <w:r w:rsidR="003C5C63" w:rsidRPr="003C5C63">
        <w:rPr>
          <w:rFonts w:asciiTheme="minorHAnsi" w:eastAsiaTheme="minorHAnsi" w:hAnsiTheme="minorHAnsi"/>
          <w:sz w:val="22"/>
          <w:szCs w:val="22"/>
          <w:lang w:eastAsia="en-US"/>
        </w:rPr>
        <w:t xml:space="preserve">in order to support and enhance the student learning experience. </w:t>
      </w:r>
      <w:r w:rsidR="003C5C63">
        <w:rPr>
          <w:rFonts w:asciiTheme="minorHAnsi" w:eastAsiaTheme="minorHAnsi" w:hAnsiTheme="minorHAnsi"/>
          <w:sz w:val="22"/>
          <w:szCs w:val="22"/>
          <w:lang w:eastAsia="en-US"/>
        </w:rPr>
        <w:t xml:space="preserve"> Its </w:t>
      </w:r>
      <w:r w:rsidR="003C5C63" w:rsidRPr="003C5C63">
        <w:rPr>
          <w:rFonts w:asciiTheme="minorHAnsi" w:eastAsia="Times New Roman" w:hAnsiTheme="minorHAnsi"/>
          <w:sz w:val="22"/>
          <w:szCs w:val="22"/>
          <w:lang w:val="en-AU" w:eastAsia="en-AU"/>
        </w:rPr>
        <w:t>objective is to promote a formal regular gathering and in so doing foster a UK-wide learning and teaching community to reflect, review, discuss, advise and propose improvements to operational-based items that have strategic importance</w:t>
      </w:r>
      <w:r w:rsidR="003C5C63">
        <w:rPr>
          <w:rFonts w:asciiTheme="minorHAnsi" w:eastAsia="Times New Roman" w:hAnsiTheme="minorHAnsi"/>
          <w:sz w:val="22"/>
          <w:szCs w:val="22"/>
          <w:lang w:val="en-AU" w:eastAsia="en-AU"/>
        </w:rPr>
        <w:t xml:space="preserve"> (see NPR QS4)</w:t>
      </w:r>
      <w:r w:rsidR="003C5C63" w:rsidRPr="003C5C63">
        <w:rPr>
          <w:rFonts w:asciiTheme="minorHAnsi" w:eastAsia="Times New Roman" w:hAnsiTheme="minorHAnsi"/>
          <w:sz w:val="22"/>
          <w:szCs w:val="22"/>
          <w:lang w:val="en-AU" w:eastAsia="en-AU"/>
        </w:rPr>
        <w:t xml:space="preserve">. </w:t>
      </w:r>
    </w:p>
    <w:p w:rsidR="003C5C63" w:rsidRPr="003C5C63" w:rsidRDefault="003C5C63" w:rsidP="003C5C63">
      <w:pPr>
        <w:spacing w:after="0" w:line="240" w:lineRule="auto"/>
        <w:ind w:left="720"/>
        <w:jc w:val="both"/>
        <w:rPr>
          <w:rFonts w:eastAsia="Times New Roman" w:cs="Arial"/>
          <w:lang w:val="en-AU" w:eastAsia="en-AU"/>
        </w:rPr>
      </w:pPr>
    </w:p>
    <w:p w:rsidR="003C5C63" w:rsidRPr="003C5C63" w:rsidRDefault="003C5C63" w:rsidP="003C5C63">
      <w:pPr>
        <w:spacing w:after="0" w:line="240" w:lineRule="auto"/>
        <w:ind w:left="720"/>
        <w:jc w:val="both"/>
        <w:rPr>
          <w:rFonts w:eastAsia="Times New Roman" w:cstheme="minorHAnsi"/>
          <w:lang w:val="en-AU" w:eastAsia="en-AU"/>
        </w:rPr>
      </w:pPr>
      <w:r w:rsidRPr="003C5C63">
        <w:rPr>
          <w:rFonts w:eastAsia="Times New Roman" w:cs="Arial"/>
          <w:lang w:val="en-AU" w:eastAsia="en-AU"/>
        </w:rPr>
        <w:t xml:space="preserve">The </w:t>
      </w:r>
      <w:r w:rsidR="0067123D">
        <w:rPr>
          <w:rFonts w:eastAsia="Times New Roman" w:cs="Arial"/>
          <w:lang w:val="en-AU" w:eastAsia="en-AU"/>
        </w:rPr>
        <w:t xml:space="preserve">Forum is </w:t>
      </w:r>
      <w:r w:rsidR="00202B0D">
        <w:rPr>
          <w:rFonts w:eastAsia="Times New Roman" w:cs="Arial"/>
          <w:lang w:val="en-AU" w:eastAsia="en-AU"/>
        </w:rPr>
        <w:t>chaired</w:t>
      </w:r>
      <w:r w:rsidR="0067123D">
        <w:rPr>
          <w:rFonts w:eastAsia="Times New Roman" w:cs="Arial"/>
          <w:lang w:val="en-AU" w:eastAsia="en-AU"/>
        </w:rPr>
        <w:t xml:space="preserve"> by </w:t>
      </w:r>
      <w:r w:rsidR="00E802B3">
        <w:rPr>
          <w:rFonts w:eastAsia="Times New Roman" w:cs="Arial"/>
          <w:lang w:val="en-AU" w:eastAsia="en-AU"/>
        </w:rPr>
        <w:t xml:space="preserve">a nominee of the </w:t>
      </w:r>
      <w:r w:rsidR="009731DE">
        <w:rPr>
          <w:rFonts w:eastAsia="Times New Roman" w:cs="Arial"/>
          <w:lang w:val="en-AU" w:eastAsia="en-AU"/>
        </w:rPr>
        <w:t>EGM</w:t>
      </w:r>
      <w:r w:rsidR="00E802B3">
        <w:rPr>
          <w:rFonts w:eastAsia="Times New Roman" w:cs="Arial"/>
          <w:lang w:val="en-AU" w:eastAsia="en-AU"/>
        </w:rPr>
        <w:t xml:space="preserve"> from the College network</w:t>
      </w:r>
      <w:r w:rsidRPr="003C5C63">
        <w:rPr>
          <w:rFonts w:eastAsia="Times New Roman" w:cs="Arial"/>
          <w:lang w:val="en-AU" w:eastAsia="en-AU"/>
        </w:rPr>
        <w:t xml:space="preserve">. </w:t>
      </w:r>
      <w:r w:rsidR="0067123D">
        <w:rPr>
          <w:rFonts w:eastAsia="Times New Roman" w:cs="Arial"/>
          <w:lang w:val="en-AU" w:eastAsia="en-AU"/>
        </w:rPr>
        <w:t xml:space="preserve"> Membership of the Forum includ</w:t>
      </w:r>
      <w:r w:rsidR="00D45442">
        <w:rPr>
          <w:rFonts w:eastAsia="Times New Roman" w:cs="Arial"/>
          <w:lang w:val="en-AU" w:eastAsia="en-AU"/>
        </w:rPr>
        <w:t>es all College Senior Academic M</w:t>
      </w:r>
      <w:r w:rsidR="0067123D">
        <w:rPr>
          <w:rFonts w:eastAsia="Times New Roman" w:cs="Arial"/>
          <w:lang w:val="en-AU" w:eastAsia="en-AU"/>
        </w:rPr>
        <w:t xml:space="preserve">anagers </w:t>
      </w:r>
      <w:r w:rsidR="00E802B3">
        <w:rPr>
          <w:rFonts w:eastAsia="Times New Roman" w:cs="Arial"/>
          <w:lang w:val="en-AU" w:eastAsia="en-AU"/>
        </w:rPr>
        <w:t xml:space="preserve">and Senior Support Services Managers </w:t>
      </w:r>
      <w:r w:rsidR="0067123D">
        <w:rPr>
          <w:rFonts w:eastAsia="Times New Roman" w:cs="Arial"/>
          <w:lang w:val="en-AU" w:eastAsia="en-AU"/>
        </w:rPr>
        <w:t>and invited members determined by the chair as appropriate.</w:t>
      </w:r>
    </w:p>
    <w:p w:rsidR="003C5C63" w:rsidRPr="003C5C63" w:rsidRDefault="003C5C63" w:rsidP="003C5C63">
      <w:pPr>
        <w:tabs>
          <w:tab w:val="right" w:pos="8640"/>
        </w:tabs>
        <w:spacing w:after="0" w:line="240" w:lineRule="auto"/>
        <w:jc w:val="both"/>
        <w:rPr>
          <w:rFonts w:eastAsia="Times New Roman" w:cs="Arial"/>
          <w:b/>
          <w:bCs/>
          <w:lang w:eastAsia="en-US"/>
        </w:rPr>
      </w:pPr>
      <w:r w:rsidRPr="003C5C63">
        <w:rPr>
          <w:rFonts w:eastAsia="Times New Roman" w:cs="Arial"/>
          <w:iCs/>
          <w:lang w:val="en-AU" w:eastAsia="en-AU"/>
        </w:rPr>
        <w:tab/>
      </w:r>
    </w:p>
    <w:p w:rsidR="003C5C63" w:rsidRPr="003C5C63" w:rsidRDefault="003C5C63" w:rsidP="0067123D">
      <w:pPr>
        <w:autoSpaceDE w:val="0"/>
        <w:autoSpaceDN w:val="0"/>
        <w:adjustRightInd w:val="0"/>
        <w:spacing w:after="0" w:line="240" w:lineRule="auto"/>
        <w:ind w:left="709"/>
        <w:jc w:val="both"/>
        <w:outlineLvl w:val="1"/>
        <w:rPr>
          <w:rFonts w:eastAsia="Times New Roman" w:cs="Helvetica"/>
          <w:lang w:eastAsia="en-US"/>
        </w:rPr>
      </w:pPr>
      <w:r w:rsidRPr="003C5C63">
        <w:rPr>
          <w:rFonts w:eastAsia="Times New Roman" w:cs="Helvetica"/>
          <w:lang w:eastAsia="en-US"/>
        </w:rPr>
        <w:t>The Forum meet</w:t>
      </w:r>
      <w:r w:rsidR="0067123D">
        <w:rPr>
          <w:rFonts w:eastAsia="Times New Roman" w:cs="Helvetica"/>
          <w:lang w:eastAsia="en-US"/>
        </w:rPr>
        <w:t>s</w:t>
      </w:r>
      <w:r w:rsidRPr="003C5C63">
        <w:rPr>
          <w:rFonts w:eastAsia="Times New Roman" w:cs="Helvetica"/>
          <w:lang w:eastAsia="en-US"/>
        </w:rPr>
        <w:t xml:space="preserve"> at least six times each year. </w:t>
      </w:r>
      <w:r w:rsidR="0067123D">
        <w:rPr>
          <w:rFonts w:eastAsia="Times New Roman" w:cs="Helvetica"/>
          <w:lang w:eastAsia="en-US"/>
        </w:rPr>
        <w:t xml:space="preserve"> </w:t>
      </w:r>
      <w:r w:rsidRPr="003C5C63">
        <w:rPr>
          <w:rFonts w:eastAsia="Times New Roman" w:cs="Helvetica"/>
          <w:lang w:eastAsia="en-US"/>
        </w:rPr>
        <w:t>Meetings will normally be held via video</w:t>
      </w:r>
      <w:r w:rsidR="0067123D">
        <w:rPr>
          <w:rFonts w:eastAsia="Times New Roman" w:cs="Helvetica"/>
          <w:lang w:eastAsia="en-US"/>
        </w:rPr>
        <w:t>-</w:t>
      </w:r>
      <w:r w:rsidRPr="003C5C63">
        <w:rPr>
          <w:rFonts w:eastAsia="Times New Roman" w:cs="Helvetica"/>
          <w:lang w:eastAsia="en-US"/>
        </w:rPr>
        <w:t xml:space="preserve">conference </w:t>
      </w:r>
      <w:r w:rsidR="0067123D">
        <w:rPr>
          <w:rFonts w:eastAsia="Times New Roman" w:cs="Helvetica"/>
          <w:lang w:eastAsia="en-US"/>
        </w:rPr>
        <w:t>with every third meeting held at one of the Colleges</w:t>
      </w:r>
      <w:r w:rsidRPr="003C5C63">
        <w:rPr>
          <w:rFonts w:eastAsia="Times New Roman" w:cs="Helvetica"/>
          <w:lang w:eastAsia="en-US"/>
        </w:rPr>
        <w:t xml:space="preserve">. </w:t>
      </w:r>
      <w:r w:rsidR="0067123D">
        <w:rPr>
          <w:rFonts w:eastAsia="Times New Roman" w:cs="Helvetica"/>
          <w:lang w:eastAsia="en-US"/>
        </w:rPr>
        <w:t xml:space="preserve"> </w:t>
      </w:r>
    </w:p>
    <w:p w:rsidR="00325D02" w:rsidRDefault="00325D02" w:rsidP="002355E2">
      <w:pPr>
        <w:spacing w:after="0" w:line="240" w:lineRule="auto"/>
        <w:ind w:left="720" w:hanging="720"/>
        <w:jc w:val="both"/>
        <w:rPr>
          <w:rFonts w:cstheme="minorHAnsi"/>
        </w:rPr>
      </w:pPr>
    </w:p>
    <w:p w:rsidR="003B5782" w:rsidRDefault="003B5782" w:rsidP="002355E2">
      <w:pPr>
        <w:spacing w:after="0" w:line="240" w:lineRule="auto"/>
        <w:ind w:left="720" w:hanging="720"/>
        <w:jc w:val="both"/>
      </w:pPr>
    </w:p>
    <w:p w:rsidR="003B5782" w:rsidRDefault="003B5782" w:rsidP="002355E2">
      <w:pPr>
        <w:spacing w:after="0" w:line="240" w:lineRule="auto"/>
        <w:ind w:left="720" w:hanging="720"/>
        <w:jc w:val="both"/>
      </w:pPr>
    </w:p>
    <w:p w:rsidR="002355E2" w:rsidRPr="00325D02" w:rsidRDefault="00DF3B5D" w:rsidP="002355E2">
      <w:pPr>
        <w:spacing w:after="0" w:line="240" w:lineRule="auto"/>
        <w:ind w:left="720" w:hanging="720"/>
        <w:jc w:val="both"/>
      </w:pPr>
      <w:r w:rsidRPr="00325D02">
        <w:t>3.</w:t>
      </w:r>
      <w:r w:rsidR="00AA483C">
        <w:t>1.5</w:t>
      </w:r>
      <w:r w:rsidRPr="00325D02">
        <w:tab/>
      </w:r>
      <w:r w:rsidR="002355E2" w:rsidRPr="00625C83">
        <w:rPr>
          <w:u w:val="single"/>
        </w:rPr>
        <w:t>Quality and Standards Office</w:t>
      </w:r>
    </w:p>
    <w:p w:rsidR="004662E5" w:rsidRPr="004662E5" w:rsidRDefault="00BB3C70" w:rsidP="003B5782">
      <w:pPr>
        <w:spacing w:after="0" w:line="240" w:lineRule="auto"/>
        <w:ind w:left="720" w:hanging="720"/>
        <w:jc w:val="both"/>
      </w:pPr>
      <w:r w:rsidRPr="00DF3B5D">
        <w:tab/>
      </w:r>
      <w:r w:rsidR="004662E5" w:rsidRPr="004662E5">
        <w:t xml:space="preserve">The Quality and Standards Office (QaSO) forms part of the </w:t>
      </w:r>
      <w:r w:rsidR="009731DE">
        <w:t>Navitas UPE</w:t>
      </w:r>
      <w:r w:rsidR="004662E5" w:rsidRPr="004662E5">
        <w:t xml:space="preserve"> Registry and is aligned with the management of the academic environment across the UK college network, the Compliance function a</w:t>
      </w:r>
      <w:r w:rsidR="004662E5">
        <w:t>long</w:t>
      </w:r>
      <w:r w:rsidR="004662E5" w:rsidRPr="004662E5">
        <w:t xml:space="preserve"> with the provision of Corporate Services.  QaSO’s role includes:</w:t>
      </w:r>
    </w:p>
    <w:p w:rsidR="004662E5" w:rsidRDefault="004662E5" w:rsidP="003B5782">
      <w:pPr>
        <w:pStyle w:val="ListParagraph"/>
        <w:numPr>
          <w:ilvl w:val="0"/>
          <w:numId w:val="50"/>
        </w:numPr>
        <w:contextualSpacing w:val="0"/>
        <w:jc w:val="both"/>
        <w:rPr>
          <w:rFonts w:ascii="Calibri" w:hAnsi="Calibri"/>
          <w:sz w:val="22"/>
          <w:szCs w:val="22"/>
        </w:rPr>
      </w:pPr>
      <w:r>
        <w:rPr>
          <w:rFonts w:ascii="Calibri" w:hAnsi="Calibri"/>
          <w:sz w:val="22"/>
          <w:szCs w:val="22"/>
        </w:rPr>
        <w:t>educational oversight</w:t>
      </w:r>
    </w:p>
    <w:p w:rsidR="004662E5" w:rsidRDefault="004662E5" w:rsidP="003B5782">
      <w:pPr>
        <w:pStyle w:val="ListParagraph"/>
        <w:numPr>
          <w:ilvl w:val="0"/>
          <w:numId w:val="50"/>
        </w:numPr>
        <w:contextualSpacing w:val="0"/>
        <w:jc w:val="both"/>
        <w:rPr>
          <w:rFonts w:ascii="Calibri" w:hAnsi="Calibri"/>
          <w:sz w:val="22"/>
          <w:szCs w:val="22"/>
        </w:rPr>
      </w:pPr>
      <w:r>
        <w:rPr>
          <w:rFonts w:ascii="Calibri" w:hAnsi="Calibri"/>
          <w:sz w:val="22"/>
          <w:szCs w:val="22"/>
        </w:rPr>
        <w:t>oversight of programme/pathway development and approval;</w:t>
      </w:r>
    </w:p>
    <w:p w:rsidR="004662E5" w:rsidRDefault="004662E5" w:rsidP="003B5782">
      <w:pPr>
        <w:pStyle w:val="ListParagraph"/>
        <w:numPr>
          <w:ilvl w:val="0"/>
          <w:numId w:val="50"/>
        </w:numPr>
        <w:contextualSpacing w:val="0"/>
        <w:jc w:val="both"/>
        <w:rPr>
          <w:rFonts w:ascii="Calibri" w:hAnsi="Calibri"/>
          <w:sz w:val="22"/>
          <w:szCs w:val="22"/>
        </w:rPr>
      </w:pPr>
      <w:r>
        <w:rPr>
          <w:rFonts w:ascii="Calibri" w:hAnsi="Calibri"/>
          <w:sz w:val="22"/>
          <w:szCs w:val="22"/>
        </w:rPr>
        <w:t>disseminating good practice across the College network;</w:t>
      </w:r>
    </w:p>
    <w:p w:rsidR="004662E5" w:rsidRDefault="004662E5" w:rsidP="003B5782">
      <w:pPr>
        <w:pStyle w:val="ListParagraph"/>
        <w:numPr>
          <w:ilvl w:val="0"/>
          <w:numId w:val="50"/>
        </w:numPr>
        <w:contextualSpacing w:val="0"/>
        <w:jc w:val="both"/>
        <w:rPr>
          <w:rFonts w:ascii="Calibri" w:hAnsi="Calibri"/>
          <w:sz w:val="22"/>
          <w:szCs w:val="22"/>
        </w:rPr>
      </w:pPr>
      <w:r>
        <w:rPr>
          <w:rFonts w:ascii="Calibri" w:hAnsi="Calibri"/>
          <w:sz w:val="22"/>
          <w:szCs w:val="22"/>
        </w:rPr>
        <w:t>summarising College Annual Monitoring reports;</w:t>
      </w:r>
    </w:p>
    <w:p w:rsidR="004662E5" w:rsidRDefault="004662E5" w:rsidP="003B5782">
      <w:pPr>
        <w:pStyle w:val="ListParagraph"/>
        <w:numPr>
          <w:ilvl w:val="0"/>
          <w:numId w:val="50"/>
        </w:numPr>
        <w:contextualSpacing w:val="0"/>
        <w:jc w:val="both"/>
        <w:rPr>
          <w:rFonts w:ascii="Calibri" w:hAnsi="Calibri"/>
          <w:sz w:val="22"/>
          <w:szCs w:val="22"/>
        </w:rPr>
      </w:pPr>
      <w:r>
        <w:rPr>
          <w:rFonts w:ascii="Calibri" w:hAnsi="Calibri"/>
          <w:sz w:val="22"/>
          <w:szCs w:val="22"/>
        </w:rPr>
        <w:t>Management Information System updates;</w:t>
      </w:r>
    </w:p>
    <w:p w:rsidR="004662E5" w:rsidRDefault="004662E5" w:rsidP="003B5782">
      <w:pPr>
        <w:pStyle w:val="ListParagraph"/>
        <w:numPr>
          <w:ilvl w:val="0"/>
          <w:numId w:val="50"/>
        </w:numPr>
        <w:contextualSpacing w:val="0"/>
        <w:jc w:val="both"/>
        <w:rPr>
          <w:rFonts w:ascii="Calibri" w:hAnsi="Calibri"/>
          <w:sz w:val="22"/>
          <w:szCs w:val="22"/>
        </w:rPr>
      </w:pPr>
      <w:r>
        <w:rPr>
          <w:rFonts w:ascii="Calibri" w:hAnsi="Calibri"/>
          <w:sz w:val="22"/>
          <w:szCs w:val="22"/>
        </w:rPr>
        <w:t xml:space="preserve">assisting Colleges with </w:t>
      </w:r>
      <w:r w:rsidR="009731DE">
        <w:rPr>
          <w:rFonts w:ascii="Calibri" w:hAnsi="Calibri"/>
          <w:sz w:val="22"/>
          <w:szCs w:val="22"/>
        </w:rPr>
        <w:t>UKVI</w:t>
      </w:r>
      <w:r>
        <w:rPr>
          <w:rFonts w:ascii="Calibri" w:hAnsi="Calibri"/>
          <w:sz w:val="22"/>
          <w:szCs w:val="22"/>
        </w:rPr>
        <w:t xml:space="preserve"> reporting;</w:t>
      </w:r>
    </w:p>
    <w:p w:rsidR="004662E5" w:rsidRDefault="004662E5" w:rsidP="003B5782">
      <w:pPr>
        <w:pStyle w:val="ListParagraph"/>
        <w:numPr>
          <w:ilvl w:val="0"/>
          <w:numId w:val="50"/>
        </w:numPr>
        <w:contextualSpacing w:val="0"/>
        <w:jc w:val="both"/>
        <w:rPr>
          <w:rFonts w:ascii="Calibri" w:hAnsi="Calibri"/>
          <w:sz w:val="22"/>
          <w:szCs w:val="22"/>
        </w:rPr>
      </w:pPr>
      <w:r>
        <w:rPr>
          <w:rFonts w:ascii="Calibri" w:hAnsi="Calibri"/>
          <w:sz w:val="22"/>
          <w:szCs w:val="22"/>
        </w:rPr>
        <w:t>annual review of the NPRs;</w:t>
      </w:r>
    </w:p>
    <w:p w:rsidR="004662E5" w:rsidRDefault="004662E5" w:rsidP="003B5782">
      <w:pPr>
        <w:pStyle w:val="ListParagraph"/>
        <w:numPr>
          <w:ilvl w:val="0"/>
          <w:numId w:val="50"/>
        </w:numPr>
        <w:contextualSpacing w:val="0"/>
        <w:jc w:val="both"/>
        <w:rPr>
          <w:rFonts w:ascii="Calibri" w:hAnsi="Calibri"/>
          <w:sz w:val="22"/>
          <w:szCs w:val="22"/>
        </w:rPr>
      </w:pPr>
      <w:r>
        <w:rPr>
          <w:rFonts w:ascii="Calibri" w:hAnsi="Calibri"/>
          <w:sz w:val="22"/>
          <w:szCs w:val="22"/>
        </w:rPr>
        <w:t>academic appeals;</w:t>
      </w:r>
    </w:p>
    <w:p w:rsidR="004662E5" w:rsidRDefault="004662E5" w:rsidP="003B5782">
      <w:pPr>
        <w:pStyle w:val="ListParagraph"/>
        <w:numPr>
          <w:ilvl w:val="0"/>
          <w:numId w:val="50"/>
        </w:numPr>
        <w:contextualSpacing w:val="0"/>
        <w:jc w:val="both"/>
        <w:rPr>
          <w:rFonts w:ascii="Calibri" w:hAnsi="Calibri"/>
          <w:sz w:val="22"/>
          <w:szCs w:val="22"/>
        </w:rPr>
      </w:pPr>
      <w:r>
        <w:rPr>
          <w:rFonts w:ascii="Calibri" w:hAnsi="Calibri"/>
          <w:sz w:val="22"/>
          <w:szCs w:val="22"/>
        </w:rPr>
        <w:t>student grievances and/or complaints</w:t>
      </w:r>
    </w:p>
    <w:p w:rsidR="004662E5" w:rsidRDefault="004662E5" w:rsidP="003B5782">
      <w:pPr>
        <w:spacing w:after="0" w:line="240" w:lineRule="auto"/>
        <w:ind w:left="720"/>
        <w:jc w:val="both"/>
      </w:pPr>
    </w:p>
    <w:p w:rsidR="004662E5" w:rsidRPr="004662E5" w:rsidRDefault="004662E5" w:rsidP="003B5782">
      <w:pPr>
        <w:spacing w:after="0" w:line="240" w:lineRule="auto"/>
        <w:ind w:left="720"/>
        <w:jc w:val="both"/>
      </w:pPr>
      <w:r w:rsidRPr="004662E5">
        <w:t xml:space="preserve">The Navitas Policies and Regulations (NPR) are reviewed on a regular basis by QaSO to ensure that they remain in line with external reference points such as the QAA Quality Code and Home Office regulations.  The review takes account of feedback from Colleges including normal reporting, so as to ensure that effective systems, structures, policies, and training are provided for Colleges.  </w:t>
      </w:r>
    </w:p>
    <w:p w:rsidR="004662E5" w:rsidRPr="004662E5" w:rsidRDefault="004662E5" w:rsidP="003B5782">
      <w:pPr>
        <w:spacing w:after="0" w:line="240" w:lineRule="auto"/>
        <w:jc w:val="both"/>
      </w:pPr>
    </w:p>
    <w:p w:rsidR="004662E5" w:rsidRPr="004662E5" w:rsidRDefault="004662E5" w:rsidP="003B5782">
      <w:pPr>
        <w:spacing w:line="240" w:lineRule="auto"/>
        <w:ind w:left="720"/>
        <w:jc w:val="both"/>
      </w:pPr>
      <w:r w:rsidRPr="004662E5">
        <w:t xml:space="preserve">The </w:t>
      </w:r>
      <w:r w:rsidR="009731DE">
        <w:t>Navitas UPE</w:t>
      </w:r>
      <w:r w:rsidRPr="004662E5">
        <w:t xml:space="preserve"> </w:t>
      </w:r>
      <w:r w:rsidR="009731DE">
        <w:t>Executive General Manager</w:t>
      </w:r>
      <w:r w:rsidRPr="004662E5">
        <w:t xml:space="preserve"> as head of the QaSO is a member of the Navitas </w:t>
      </w:r>
      <w:r w:rsidR="009731DE">
        <w:t>Executive Leadership Team</w:t>
      </w:r>
      <w:r w:rsidRPr="004662E5">
        <w:t xml:space="preserve"> and the </w:t>
      </w:r>
      <w:r w:rsidR="009731DE">
        <w:t>Operational Leadership Team</w:t>
      </w:r>
      <w:r w:rsidRPr="004662E5">
        <w:t xml:space="preserve">, and reports to the </w:t>
      </w:r>
      <w:r w:rsidR="009731DE">
        <w:t xml:space="preserve">CEO University Pathways Europe </w:t>
      </w:r>
      <w:r w:rsidRPr="004662E5">
        <w:t>Division.</w:t>
      </w:r>
      <w:r>
        <w:t xml:space="preserve"> </w:t>
      </w:r>
      <w:r w:rsidRPr="004662E5">
        <w:t xml:space="preserve">The </w:t>
      </w:r>
      <w:r w:rsidR="009731DE">
        <w:t>EGM</w:t>
      </w:r>
      <w:r w:rsidRPr="004662E5">
        <w:t xml:space="preserve"> has educational oversight of the </w:t>
      </w:r>
      <w:r w:rsidR="009731DE">
        <w:t>10</w:t>
      </w:r>
      <w:r w:rsidRPr="004662E5">
        <w:t xml:space="preserve"> UK colleges.</w:t>
      </w:r>
    </w:p>
    <w:p w:rsidR="004662E5" w:rsidRPr="004662E5" w:rsidRDefault="004662E5" w:rsidP="003B5782">
      <w:pPr>
        <w:spacing w:line="240" w:lineRule="auto"/>
        <w:ind w:left="720"/>
        <w:jc w:val="both"/>
      </w:pPr>
      <w:r w:rsidRPr="004662E5">
        <w:t xml:space="preserve">The Compliance function is concerned with Tier 4, admission, progression and aligned policy, regulation and processes to ensure that the college network has met regulatory requirements, such as educational oversight by the QAA, HTS, CLA and NLA licensing, disclosure, and any other accreditation/licence requirements. The </w:t>
      </w:r>
      <w:r w:rsidR="009731DE">
        <w:t>Navitas UPE</w:t>
      </w:r>
      <w:r w:rsidRPr="004662E5">
        <w:t xml:space="preserve"> </w:t>
      </w:r>
      <w:r w:rsidR="009731DE">
        <w:t>Head</w:t>
      </w:r>
      <w:r w:rsidRPr="004662E5">
        <w:t xml:space="preserve"> of Compliance Systems and Services </w:t>
      </w:r>
      <w:r w:rsidR="009731DE">
        <w:t xml:space="preserve">reports into the EGM who </w:t>
      </w:r>
      <w:r w:rsidRPr="004662E5">
        <w:t>has oversight of the compliance regime in each UK College.</w:t>
      </w:r>
    </w:p>
    <w:p w:rsidR="00206EF2" w:rsidRPr="006F3C55" w:rsidRDefault="006F3C55" w:rsidP="00FB42FB">
      <w:pPr>
        <w:spacing w:after="0" w:line="240" w:lineRule="auto"/>
        <w:jc w:val="both"/>
        <w:rPr>
          <w:b/>
        </w:rPr>
      </w:pPr>
      <w:r w:rsidRPr="006F3C55">
        <w:rPr>
          <w:b/>
        </w:rPr>
        <w:t>3.2</w:t>
      </w:r>
      <w:r w:rsidR="00206EF2" w:rsidRPr="006F3C55">
        <w:rPr>
          <w:b/>
        </w:rPr>
        <w:tab/>
        <w:t>Navitas Policies and Procedures</w:t>
      </w:r>
    </w:p>
    <w:p w:rsidR="00D45442" w:rsidRPr="00D45442" w:rsidRDefault="00206EF2" w:rsidP="00FB42FB">
      <w:pPr>
        <w:spacing w:after="0" w:line="240" w:lineRule="auto"/>
        <w:jc w:val="both"/>
      </w:pPr>
      <w:r w:rsidRPr="00D45442">
        <w:tab/>
      </w:r>
    </w:p>
    <w:p w:rsidR="006F3C55" w:rsidRDefault="006F3C55" w:rsidP="006F3C55">
      <w:pPr>
        <w:spacing w:after="0" w:line="240" w:lineRule="auto"/>
        <w:ind w:left="770" w:hanging="770"/>
        <w:jc w:val="both"/>
      </w:pPr>
      <w:r>
        <w:t>3.2.1</w:t>
      </w:r>
      <w:r>
        <w:tab/>
      </w:r>
      <w:r w:rsidR="00D45442">
        <w:t>The NPRs set down the key policies and procedures through which Navitas ensures that its colleges assure the quality and academic standards of their provision.</w:t>
      </w:r>
      <w:r>
        <w:t xml:space="preserve"> </w:t>
      </w:r>
    </w:p>
    <w:p w:rsidR="006F3C55" w:rsidRDefault="006F3C55" w:rsidP="006F3C55">
      <w:pPr>
        <w:spacing w:after="0" w:line="240" w:lineRule="auto"/>
        <w:ind w:left="770" w:hanging="770"/>
        <w:jc w:val="both"/>
      </w:pPr>
    </w:p>
    <w:p w:rsidR="006F3C55" w:rsidRDefault="006F3C55" w:rsidP="006F3C55">
      <w:pPr>
        <w:spacing w:after="0" w:line="240" w:lineRule="auto"/>
        <w:ind w:left="770" w:hanging="770"/>
        <w:jc w:val="both"/>
      </w:pPr>
      <w:r>
        <w:t>3.2.2</w:t>
      </w:r>
      <w:r>
        <w:tab/>
        <w:t xml:space="preserve">It is intended that all Colleges implement the NPRs as they stand.  However it is recognised that there will be instances where detailed practices may differ because of particular partnership arrangements.  Such </w:t>
      </w:r>
      <w:r>
        <w:lastRenderedPageBreak/>
        <w:t>variations must be agreed and documented, either in a C</w:t>
      </w:r>
      <w:r w:rsidR="005F4296">
        <w:t>ollege Appendix to the Quality Manual, or through the College O</w:t>
      </w:r>
      <w:r>
        <w:t>perations Manual.</w:t>
      </w:r>
    </w:p>
    <w:p w:rsidR="006F3C55" w:rsidRDefault="006F3C55" w:rsidP="006F3C55">
      <w:pPr>
        <w:spacing w:after="0" w:line="240" w:lineRule="auto"/>
        <w:ind w:left="770" w:hanging="770"/>
        <w:jc w:val="both"/>
      </w:pPr>
    </w:p>
    <w:p w:rsidR="00206EF2" w:rsidRPr="00D45442" w:rsidRDefault="006F3C55" w:rsidP="006F3C55">
      <w:pPr>
        <w:spacing w:after="0" w:line="240" w:lineRule="auto"/>
        <w:ind w:left="770" w:hanging="770"/>
        <w:jc w:val="both"/>
      </w:pPr>
      <w:r>
        <w:t>3.2.3</w:t>
      </w:r>
      <w:r>
        <w:tab/>
        <w:t xml:space="preserve">The NPRs </w:t>
      </w:r>
      <w:r w:rsidR="005F4296">
        <w:t>form part of this Manual and are listed in section 11.</w:t>
      </w:r>
    </w:p>
    <w:p w:rsidR="00206EF2" w:rsidRPr="00104B30" w:rsidRDefault="00206EF2" w:rsidP="00FB42FB">
      <w:pPr>
        <w:spacing w:after="0" w:line="240" w:lineRule="auto"/>
        <w:jc w:val="both"/>
      </w:pPr>
    </w:p>
    <w:p w:rsidR="00104B30" w:rsidRPr="0067123D" w:rsidRDefault="005F4296" w:rsidP="00A85A85">
      <w:pPr>
        <w:spacing w:after="0" w:line="240" w:lineRule="auto"/>
        <w:jc w:val="both"/>
        <w:rPr>
          <w:rFonts w:cstheme="minorHAnsi"/>
          <w:b/>
        </w:rPr>
      </w:pPr>
      <w:r>
        <w:rPr>
          <w:b/>
        </w:rPr>
        <w:t>3.3</w:t>
      </w:r>
      <w:r w:rsidR="00EB1792" w:rsidRPr="0067123D">
        <w:rPr>
          <w:b/>
        </w:rPr>
        <w:tab/>
      </w:r>
      <w:r w:rsidR="00104B30" w:rsidRPr="0067123D">
        <w:rPr>
          <w:rFonts w:cstheme="minorHAnsi"/>
          <w:b/>
        </w:rPr>
        <w:t>Learning and Teaching framework</w:t>
      </w:r>
    </w:p>
    <w:p w:rsidR="00A85A85" w:rsidRPr="00A85A85" w:rsidRDefault="00A85A85" w:rsidP="00A85A85">
      <w:pPr>
        <w:spacing w:after="0" w:line="240" w:lineRule="auto"/>
        <w:jc w:val="both"/>
        <w:rPr>
          <w:b/>
        </w:rPr>
      </w:pPr>
    </w:p>
    <w:p w:rsidR="00A85A85" w:rsidRDefault="00AA483C" w:rsidP="00A85A85">
      <w:pPr>
        <w:spacing w:after="0" w:line="240" w:lineRule="auto"/>
        <w:ind w:left="709" w:hanging="709"/>
        <w:jc w:val="both"/>
        <w:rPr>
          <w:rFonts w:cstheme="minorHAnsi"/>
        </w:rPr>
      </w:pPr>
      <w:r>
        <w:rPr>
          <w:rFonts w:cstheme="minorHAnsi"/>
        </w:rPr>
        <w:t>3.2</w:t>
      </w:r>
      <w:r w:rsidR="00A85A85">
        <w:rPr>
          <w:rFonts w:cstheme="minorHAnsi"/>
        </w:rPr>
        <w:t>.1</w:t>
      </w:r>
      <w:r w:rsidR="00FB1F68">
        <w:rPr>
          <w:rFonts w:cstheme="minorHAnsi"/>
        </w:rPr>
        <w:tab/>
        <w:t>The Learning and T</w:t>
      </w:r>
      <w:r w:rsidR="00104B30">
        <w:rPr>
          <w:rFonts w:cstheme="minorHAnsi"/>
        </w:rPr>
        <w:t xml:space="preserve">eaching framework defines the processes through which learning and teaching </w:t>
      </w:r>
      <w:r w:rsidR="00E148F8">
        <w:rPr>
          <w:rFonts w:cstheme="minorHAnsi"/>
        </w:rPr>
        <w:t>and the student experience are</w:t>
      </w:r>
      <w:r w:rsidR="00104B30">
        <w:rPr>
          <w:rFonts w:cstheme="minorHAnsi"/>
        </w:rPr>
        <w:t xml:space="preserve"> monitored, developed and enhanced.  </w:t>
      </w:r>
      <w:r w:rsidR="00E148F8">
        <w:rPr>
          <w:rFonts w:cstheme="minorHAnsi"/>
        </w:rPr>
        <w:t>These processes are given substance by the Learning and Teaching Strategy.</w:t>
      </w:r>
      <w:r w:rsidR="0067123D">
        <w:rPr>
          <w:rFonts w:cstheme="minorHAnsi"/>
        </w:rPr>
        <w:t xml:space="preserve"> The key components </w:t>
      </w:r>
      <w:r w:rsidR="00FB1F68">
        <w:rPr>
          <w:rFonts w:cstheme="minorHAnsi"/>
        </w:rPr>
        <w:t xml:space="preserve">of the framework </w:t>
      </w:r>
      <w:r w:rsidR="00A2369F">
        <w:rPr>
          <w:rFonts w:cstheme="minorHAnsi"/>
        </w:rPr>
        <w:t xml:space="preserve">are described in NPR QS4, </w:t>
      </w:r>
      <w:r w:rsidR="0067123D">
        <w:rPr>
          <w:rFonts w:cstheme="minorHAnsi"/>
        </w:rPr>
        <w:t>and their relationship</w:t>
      </w:r>
      <w:r w:rsidR="00202B0D">
        <w:rPr>
          <w:rFonts w:cstheme="minorHAnsi"/>
        </w:rPr>
        <w:t>s</w:t>
      </w:r>
      <w:r w:rsidR="0067123D">
        <w:rPr>
          <w:rFonts w:cstheme="minorHAnsi"/>
        </w:rPr>
        <w:t xml:space="preserve"> are shown in Figure 3.</w:t>
      </w:r>
      <w:r w:rsidR="00FB1F68">
        <w:rPr>
          <w:rFonts w:cstheme="minorHAnsi"/>
        </w:rPr>
        <w:t xml:space="preserve">  </w:t>
      </w:r>
    </w:p>
    <w:p w:rsidR="0067123D" w:rsidRDefault="00773667" w:rsidP="00FB1F68">
      <w:pPr>
        <w:spacing w:after="0" w:line="240" w:lineRule="auto"/>
        <w:ind w:left="709"/>
        <w:jc w:val="both"/>
        <w:rPr>
          <w:rFonts w:cstheme="minorHAnsi"/>
        </w:rPr>
      </w:pPr>
      <w:r>
        <w:rPr>
          <w:rFonts w:cstheme="minorHAnsi"/>
        </w:rPr>
        <w:fldChar w:fldCharType="begin"/>
      </w:r>
      <w:r>
        <w:rPr>
          <w:rFonts w:cstheme="minorHAnsi"/>
        </w:rPr>
        <w:instrText xml:space="preserve"> LINK Word.Document.12 "G:\\CPRs\\New docs\\L&amp;T Framework diag.docx" "" \a \p \f 0 </w:instrText>
      </w:r>
      <w:r>
        <w:rPr>
          <w:rFonts w:cstheme="minorHAnsi"/>
        </w:rPr>
        <w:fldChar w:fldCharType="separate"/>
      </w:r>
      <w:r w:rsidR="009731DE">
        <w:rPr>
          <w:rFonts w:cstheme="minorHAnsi"/>
          <w:noProof/>
        </w:rPr>
        <w:drawing>
          <wp:inline distT="0" distB="0" distL="0" distR="0">
            <wp:extent cx="5952490" cy="230695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52490" cy="2306955"/>
                    </a:xfrm>
                    <a:prstGeom prst="rect">
                      <a:avLst/>
                    </a:prstGeom>
                    <a:noFill/>
                    <a:ln>
                      <a:noFill/>
                    </a:ln>
                  </pic:spPr>
                </pic:pic>
              </a:graphicData>
            </a:graphic>
          </wp:inline>
        </w:drawing>
      </w:r>
      <w:r>
        <w:rPr>
          <w:rFonts w:cstheme="minorHAnsi"/>
        </w:rPr>
        <w:fldChar w:fldCharType="end"/>
      </w:r>
    </w:p>
    <w:p w:rsidR="00A85A85" w:rsidRDefault="00A85A85" w:rsidP="00A85A85">
      <w:pPr>
        <w:spacing w:after="0" w:line="240" w:lineRule="auto"/>
        <w:ind w:left="709" w:hanging="709"/>
        <w:jc w:val="both"/>
        <w:rPr>
          <w:rFonts w:cstheme="minorHAnsi"/>
        </w:rPr>
      </w:pPr>
    </w:p>
    <w:p w:rsidR="00FB1F68" w:rsidRPr="00FB1F68" w:rsidRDefault="00FB1F68" w:rsidP="00FB1F68">
      <w:pPr>
        <w:spacing w:after="0" w:line="240" w:lineRule="auto"/>
        <w:ind w:left="709"/>
        <w:jc w:val="center"/>
        <w:rPr>
          <w:rFonts w:cstheme="minorHAnsi"/>
          <w:b/>
        </w:rPr>
      </w:pPr>
      <w:r>
        <w:rPr>
          <w:rFonts w:cstheme="minorHAnsi"/>
          <w:b/>
        </w:rPr>
        <w:t>Figure 3: Learning and Teaching Framework</w:t>
      </w:r>
    </w:p>
    <w:p w:rsidR="00FB1F68" w:rsidRDefault="00FB1F68" w:rsidP="00FB1F68">
      <w:pPr>
        <w:spacing w:after="0" w:line="240" w:lineRule="auto"/>
        <w:ind w:left="709"/>
        <w:jc w:val="both"/>
        <w:rPr>
          <w:rFonts w:cstheme="minorHAnsi"/>
        </w:rPr>
      </w:pPr>
    </w:p>
    <w:p w:rsidR="00A85A85" w:rsidRDefault="00AA483C" w:rsidP="00A85A85">
      <w:pPr>
        <w:spacing w:after="0" w:line="240" w:lineRule="auto"/>
        <w:ind w:left="709" w:hanging="709"/>
        <w:jc w:val="both"/>
        <w:rPr>
          <w:rFonts w:cstheme="minorHAnsi"/>
        </w:rPr>
      </w:pPr>
      <w:r>
        <w:rPr>
          <w:rFonts w:cstheme="minorHAnsi"/>
        </w:rPr>
        <w:t>3.2</w:t>
      </w:r>
      <w:r w:rsidR="00A85A85">
        <w:rPr>
          <w:rFonts w:cstheme="minorHAnsi"/>
        </w:rPr>
        <w:t>.2</w:t>
      </w:r>
      <w:r w:rsidR="00A85A85">
        <w:rPr>
          <w:rFonts w:cstheme="minorHAnsi"/>
        </w:rPr>
        <w:tab/>
      </w:r>
      <w:r w:rsidR="00A85A85" w:rsidRPr="0067123D">
        <w:rPr>
          <w:rFonts w:cstheme="minorHAnsi"/>
          <w:u w:val="single"/>
        </w:rPr>
        <w:t>L</w:t>
      </w:r>
      <w:r w:rsidR="0067123D" w:rsidRPr="0067123D">
        <w:rPr>
          <w:rFonts w:cstheme="minorHAnsi"/>
          <w:u w:val="single"/>
        </w:rPr>
        <w:t xml:space="preserve">earning and </w:t>
      </w:r>
      <w:r w:rsidR="00A85A85" w:rsidRPr="0067123D">
        <w:rPr>
          <w:rFonts w:cstheme="minorHAnsi"/>
          <w:u w:val="single"/>
        </w:rPr>
        <w:t>T</w:t>
      </w:r>
      <w:r w:rsidR="0067123D" w:rsidRPr="0067123D">
        <w:rPr>
          <w:rFonts w:cstheme="minorHAnsi"/>
          <w:u w:val="single"/>
        </w:rPr>
        <w:t>eaching</w:t>
      </w:r>
      <w:r w:rsidR="00A85A85" w:rsidRPr="0067123D">
        <w:rPr>
          <w:rFonts w:cstheme="minorHAnsi"/>
          <w:u w:val="single"/>
        </w:rPr>
        <w:t xml:space="preserve"> Strategy</w:t>
      </w:r>
    </w:p>
    <w:p w:rsidR="00E148F8" w:rsidRDefault="0067123D" w:rsidP="00E148F8">
      <w:pPr>
        <w:spacing w:after="0" w:line="240" w:lineRule="auto"/>
        <w:ind w:left="720" w:hanging="11"/>
        <w:jc w:val="both"/>
        <w:rPr>
          <w:rFonts w:cstheme="minorHAnsi"/>
        </w:rPr>
      </w:pPr>
      <w:r>
        <w:rPr>
          <w:rFonts w:cstheme="minorHAnsi"/>
        </w:rPr>
        <w:t xml:space="preserve">The Learning and </w:t>
      </w:r>
      <w:r w:rsidR="00E148F8">
        <w:rPr>
          <w:rFonts w:cstheme="minorHAnsi"/>
        </w:rPr>
        <w:t>T</w:t>
      </w:r>
      <w:r>
        <w:rPr>
          <w:rFonts w:cstheme="minorHAnsi"/>
        </w:rPr>
        <w:t>eaching</w:t>
      </w:r>
      <w:r w:rsidR="00E148F8">
        <w:rPr>
          <w:rFonts w:cstheme="minorHAnsi"/>
        </w:rPr>
        <w:t xml:space="preserve"> Strategy identifies the strategic priorities for the development and enhancement of learning and teaching practice.  It encompasses pedagogy</w:t>
      </w:r>
      <w:r w:rsidR="00E148F8" w:rsidRPr="002972AB">
        <w:rPr>
          <w:rFonts w:cstheme="minorHAnsi"/>
        </w:rPr>
        <w:t xml:space="preserve">, curriculum, delivery, assessment and academic standards, </w:t>
      </w:r>
      <w:r w:rsidR="00E148F8">
        <w:rPr>
          <w:rFonts w:cstheme="minorHAnsi"/>
        </w:rPr>
        <w:t>e-learning,</w:t>
      </w:r>
      <w:r w:rsidR="00E148F8" w:rsidRPr="002972AB">
        <w:rPr>
          <w:rFonts w:cstheme="minorHAnsi"/>
        </w:rPr>
        <w:t xml:space="preserve"> professional development</w:t>
      </w:r>
      <w:r w:rsidR="00E148F8" w:rsidRPr="00E148F8">
        <w:rPr>
          <w:rFonts w:cstheme="minorHAnsi"/>
        </w:rPr>
        <w:t xml:space="preserve"> </w:t>
      </w:r>
      <w:r w:rsidR="00E148F8">
        <w:rPr>
          <w:rFonts w:cstheme="minorHAnsi"/>
        </w:rPr>
        <w:t>of teaching staff</w:t>
      </w:r>
      <w:r w:rsidR="00E148F8" w:rsidRPr="002972AB">
        <w:rPr>
          <w:rFonts w:cstheme="minorHAnsi"/>
        </w:rPr>
        <w:t>, reporting, monitoring and review</w:t>
      </w:r>
      <w:r w:rsidR="00E148F8">
        <w:rPr>
          <w:rFonts w:cstheme="minorHAnsi"/>
        </w:rPr>
        <w:t xml:space="preserve">.  </w:t>
      </w:r>
    </w:p>
    <w:p w:rsidR="00E148F8" w:rsidRDefault="00E148F8" w:rsidP="00E148F8">
      <w:pPr>
        <w:spacing w:after="0" w:line="240" w:lineRule="auto"/>
        <w:ind w:left="720" w:hanging="11"/>
        <w:jc w:val="both"/>
        <w:rPr>
          <w:rFonts w:cstheme="minorHAnsi"/>
        </w:rPr>
      </w:pPr>
    </w:p>
    <w:p w:rsidR="00D506BD" w:rsidRDefault="00A85A85" w:rsidP="00A85A85">
      <w:pPr>
        <w:spacing w:after="0" w:line="240" w:lineRule="auto"/>
        <w:ind w:left="709"/>
        <w:jc w:val="both"/>
        <w:rPr>
          <w:rFonts w:cstheme="minorHAnsi"/>
        </w:rPr>
      </w:pPr>
      <w:r>
        <w:rPr>
          <w:rFonts w:cstheme="minorHAnsi"/>
        </w:rPr>
        <w:t>The strategy is developed by the LTC and confirmed by the N</w:t>
      </w:r>
      <w:r w:rsidR="009731DE">
        <w:rPr>
          <w:rFonts w:cstheme="minorHAnsi"/>
        </w:rPr>
        <w:t>ELT</w:t>
      </w:r>
      <w:r>
        <w:rPr>
          <w:rFonts w:cstheme="minorHAnsi"/>
        </w:rPr>
        <w:t xml:space="preserve"> before dissemination to Colleges.  </w:t>
      </w:r>
      <w:r w:rsidR="00D506BD">
        <w:rPr>
          <w:rFonts w:cstheme="minorHAnsi"/>
        </w:rPr>
        <w:t>The Strategy aims to be</w:t>
      </w:r>
      <w:r w:rsidR="00D506BD" w:rsidRPr="002972AB">
        <w:rPr>
          <w:rFonts w:cstheme="minorHAnsi"/>
        </w:rPr>
        <w:t xml:space="preserve"> reflective of both current and informed good practice alongside future aspirations, aims and objectives</w:t>
      </w:r>
      <w:r w:rsidR="00D506BD">
        <w:rPr>
          <w:rFonts w:cstheme="minorHAnsi"/>
        </w:rPr>
        <w:t xml:space="preserve">.  Keeping the Strategy </w:t>
      </w:r>
      <w:r w:rsidR="00D506BD" w:rsidRPr="002972AB">
        <w:rPr>
          <w:rFonts w:cstheme="minorHAnsi"/>
        </w:rPr>
        <w:t>current, and therefore relevant, is essential</w:t>
      </w:r>
      <w:r w:rsidR="00D506BD">
        <w:rPr>
          <w:rFonts w:cstheme="minorHAnsi"/>
        </w:rPr>
        <w:t xml:space="preserve"> to the achievement of appropriate</w:t>
      </w:r>
      <w:r w:rsidR="00D506BD" w:rsidRPr="002972AB">
        <w:rPr>
          <w:rFonts w:cstheme="minorHAnsi"/>
        </w:rPr>
        <w:t xml:space="preserve"> long t</w:t>
      </w:r>
      <w:r w:rsidR="00D506BD">
        <w:rPr>
          <w:rFonts w:cstheme="minorHAnsi"/>
        </w:rPr>
        <w:t>erm aims</w:t>
      </w:r>
      <w:r w:rsidR="00D506BD" w:rsidRPr="002972AB">
        <w:rPr>
          <w:rFonts w:cstheme="minorHAnsi"/>
        </w:rPr>
        <w:t>.</w:t>
      </w:r>
    </w:p>
    <w:p w:rsidR="00D506BD" w:rsidRDefault="00D506BD" w:rsidP="00A85A85">
      <w:pPr>
        <w:spacing w:after="0" w:line="240" w:lineRule="auto"/>
        <w:ind w:left="709"/>
        <w:jc w:val="both"/>
        <w:rPr>
          <w:rFonts w:cstheme="minorHAnsi"/>
        </w:rPr>
      </w:pPr>
    </w:p>
    <w:p w:rsidR="00A85A85" w:rsidRDefault="00A85A85" w:rsidP="00A85A85">
      <w:pPr>
        <w:spacing w:after="0" w:line="240" w:lineRule="auto"/>
        <w:ind w:left="709"/>
        <w:jc w:val="both"/>
        <w:rPr>
          <w:rFonts w:cstheme="minorHAnsi"/>
        </w:rPr>
      </w:pPr>
      <w:r>
        <w:rPr>
          <w:rFonts w:cstheme="minorHAnsi"/>
        </w:rPr>
        <w:t>Each College will develop a</w:t>
      </w:r>
      <w:r w:rsidR="00FB1F68">
        <w:rPr>
          <w:rFonts w:cstheme="minorHAnsi"/>
        </w:rPr>
        <w:t xml:space="preserve"> </w:t>
      </w:r>
      <w:r w:rsidR="00FB1F68" w:rsidRPr="00FB1F68">
        <w:rPr>
          <w:rFonts w:cstheme="minorHAnsi"/>
          <w:b/>
        </w:rPr>
        <w:t>College Learning and Teaching</w:t>
      </w:r>
      <w:r>
        <w:rPr>
          <w:rFonts w:cstheme="minorHAnsi"/>
        </w:rPr>
        <w:t xml:space="preserve"> </w:t>
      </w:r>
      <w:r w:rsidR="00FB1F68">
        <w:rPr>
          <w:rFonts w:cstheme="minorHAnsi"/>
          <w:b/>
        </w:rPr>
        <w:t>A</w:t>
      </w:r>
      <w:r w:rsidRPr="00FB1F68">
        <w:rPr>
          <w:rFonts w:cstheme="minorHAnsi"/>
          <w:b/>
        </w:rPr>
        <w:t xml:space="preserve">ction </w:t>
      </w:r>
      <w:r w:rsidR="00FB1F68">
        <w:rPr>
          <w:rFonts w:cstheme="minorHAnsi"/>
          <w:b/>
        </w:rPr>
        <w:t>P</w:t>
      </w:r>
      <w:r w:rsidRPr="00FB1F68">
        <w:rPr>
          <w:rFonts w:cstheme="minorHAnsi"/>
          <w:b/>
        </w:rPr>
        <w:t>lan</w:t>
      </w:r>
      <w:r>
        <w:rPr>
          <w:rFonts w:cstheme="minorHAnsi"/>
        </w:rPr>
        <w:t xml:space="preserve"> </w:t>
      </w:r>
      <w:r w:rsidR="00202B0D">
        <w:rPr>
          <w:rFonts w:cstheme="minorHAnsi"/>
        </w:rPr>
        <w:t>(CLTAP)</w:t>
      </w:r>
      <w:r w:rsidR="00E802B3">
        <w:rPr>
          <w:rFonts w:cstheme="minorHAnsi"/>
        </w:rPr>
        <w:t xml:space="preserve"> </w:t>
      </w:r>
      <w:r>
        <w:rPr>
          <w:rFonts w:cstheme="minorHAnsi"/>
        </w:rPr>
        <w:t>for the appropriate implementation of the strategy taking account of local factors and particularly the partnership arrangements with the Partner University.</w:t>
      </w:r>
      <w:r w:rsidR="00FB1F68" w:rsidRPr="00FB1F68">
        <w:rPr>
          <w:rFonts w:cstheme="minorHAnsi"/>
        </w:rPr>
        <w:t xml:space="preserve"> </w:t>
      </w:r>
    </w:p>
    <w:p w:rsidR="00A85A85" w:rsidRDefault="00A85A85" w:rsidP="00A85A85">
      <w:pPr>
        <w:spacing w:after="0" w:line="240" w:lineRule="auto"/>
        <w:ind w:left="709" w:hanging="709"/>
        <w:jc w:val="both"/>
        <w:rPr>
          <w:rFonts w:cstheme="minorHAnsi"/>
        </w:rPr>
      </w:pPr>
    </w:p>
    <w:p w:rsidR="00625C83" w:rsidRDefault="00AA483C" w:rsidP="00A85A85">
      <w:pPr>
        <w:spacing w:after="0" w:line="240" w:lineRule="auto"/>
        <w:ind w:left="709" w:hanging="709"/>
        <w:jc w:val="both"/>
        <w:rPr>
          <w:rFonts w:cstheme="minorHAnsi"/>
        </w:rPr>
      </w:pPr>
      <w:r>
        <w:rPr>
          <w:rFonts w:cstheme="minorHAnsi"/>
        </w:rPr>
        <w:t>3.2</w:t>
      </w:r>
      <w:r w:rsidR="00E148F8">
        <w:rPr>
          <w:rFonts w:cstheme="minorHAnsi"/>
        </w:rPr>
        <w:t>.3</w:t>
      </w:r>
      <w:r w:rsidR="00E148F8">
        <w:rPr>
          <w:rFonts w:cstheme="minorHAnsi"/>
        </w:rPr>
        <w:tab/>
      </w:r>
      <w:r w:rsidR="00E148F8" w:rsidRPr="00625C83">
        <w:rPr>
          <w:rFonts w:cstheme="minorHAnsi"/>
          <w:u w:val="single"/>
        </w:rPr>
        <w:t>S</w:t>
      </w:r>
      <w:r w:rsidR="00625C83">
        <w:rPr>
          <w:rFonts w:cstheme="minorHAnsi"/>
          <w:u w:val="single"/>
        </w:rPr>
        <w:t>taff d</w:t>
      </w:r>
      <w:r w:rsidR="00625C83" w:rsidRPr="00625C83">
        <w:rPr>
          <w:rFonts w:cstheme="minorHAnsi"/>
          <w:u w:val="single"/>
        </w:rPr>
        <w:t>evelopment and Teaching Observation</w:t>
      </w:r>
    </w:p>
    <w:p w:rsidR="00104B30" w:rsidRDefault="00625C83" w:rsidP="00625C83">
      <w:pPr>
        <w:spacing w:after="0" w:line="240" w:lineRule="auto"/>
        <w:ind w:left="709"/>
        <w:jc w:val="both"/>
        <w:rPr>
          <w:rFonts w:cstheme="minorHAnsi"/>
        </w:rPr>
      </w:pPr>
      <w:r>
        <w:rPr>
          <w:rFonts w:cstheme="minorHAnsi"/>
        </w:rPr>
        <w:t>The development of staff both academic and support staff is key to the effective implementation of the learning and teaching strategy and to maintaining and enhancing the student experience.  The Navitas policy for staff development is set out in the Staff Handbook.  Teaching Observations are central to the development of staff and details of the policy and procedures are given in in NPR QS5</w:t>
      </w:r>
      <w:r w:rsidR="00104B30">
        <w:rPr>
          <w:rFonts w:cstheme="minorHAnsi"/>
        </w:rPr>
        <w:t>.</w:t>
      </w:r>
    </w:p>
    <w:p w:rsidR="00625C83" w:rsidRDefault="00625C83" w:rsidP="00B53267">
      <w:pPr>
        <w:spacing w:after="0" w:line="240" w:lineRule="auto"/>
        <w:ind w:left="720" w:hanging="720"/>
        <w:jc w:val="both"/>
        <w:rPr>
          <w:rFonts w:cstheme="minorHAnsi"/>
        </w:rPr>
      </w:pPr>
    </w:p>
    <w:p w:rsidR="004F2B82" w:rsidRPr="00AA483C" w:rsidRDefault="00AA483C" w:rsidP="004F2B82">
      <w:pPr>
        <w:spacing w:after="0" w:line="240" w:lineRule="auto"/>
        <w:jc w:val="both"/>
        <w:rPr>
          <w:b/>
        </w:rPr>
      </w:pPr>
      <w:r w:rsidRPr="00AA483C">
        <w:rPr>
          <w:b/>
        </w:rPr>
        <w:t>4.</w:t>
      </w:r>
      <w:r w:rsidRPr="00AA483C">
        <w:rPr>
          <w:b/>
        </w:rPr>
        <w:tab/>
      </w:r>
      <w:r w:rsidR="00FB1F68" w:rsidRPr="00AA483C">
        <w:rPr>
          <w:b/>
        </w:rPr>
        <w:t>COLLEGE QUALITY ASSURANCE</w:t>
      </w:r>
    </w:p>
    <w:p w:rsidR="00AA483C" w:rsidRDefault="00AA483C" w:rsidP="00104B30">
      <w:pPr>
        <w:spacing w:after="0" w:line="240" w:lineRule="auto"/>
        <w:ind w:left="567" w:hanging="567"/>
        <w:jc w:val="both"/>
      </w:pPr>
    </w:p>
    <w:p w:rsidR="00AA483C" w:rsidRPr="00625C83" w:rsidRDefault="00AA483C" w:rsidP="00AA483C">
      <w:pPr>
        <w:spacing w:after="0" w:line="240" w:lineRule="auto"/>
        <w:ind w:left="709" w:hanging="709"/>
        <w:jc w:val="both"/>
        <w:rPr>
          <w:b/>
        </w:rPr>
      </w:pPr>
      <w:r w:rsidRPr="00625C83">
        <w:rPr>
          <w:b/>
        </w:rPr>
        <w:t>4.1</w:t>
      </w:r>
      <w:r w:rsidRPr="00625C83">
        <w:rPr>
          <w:b/>
        </w:rPr>
        <w:tab/>
        <w:t>Key bodies and their roles</w:t>
      </w:r>
    </w:p>
    <w:p w:rsidR="00AA483C" w:rsidRDefault="00AA483C" w:rsidP="00AA483C">
      <w:pPr>
        <w:spacing w:after="0" w:line="240" w:lineRule="auto"/>
        <w:ind w:left="709" w:hanging="709"/>
        <w:jc w:val="both"/>
      </w:pPr>
    </w:p>
    <w:p w:rsidR="00AA483C" w:rsidRPr="00AF3CD0" w:rsidRDefault="00AA483C" w:rsidP="00AA483C">
      <w:pPr>
        <w:spacing w:after="0" w:line="240" w:lineRule="auto"/>
        <w:ind w:left="709" w:hanging="709"/>
        <w:jc w:val="both"/>
        <w:rPr>
          <w:u w:val="single"/>
        </w:rPr>
      </w:pPr>
      <w:r>
        <w:t>4.1.1</w:t>
      </w:r>
      <w:r>
        <w:tab/>
      </w:r>
      <w:r w:rsidRPr="00AF3CD0">
        <w:rPr>
          <w:u w:val="single"/>
        </w:rPr>
        <w:t>College Senior Management Team</w:t>
      </w:r>
      <w:r w:rsidR="00AF3CD0" w:rsidRPr="00AF3CD0">
        <w:rPr>
          <w:u w:val="single"/>
        </w:rPr>
        <w:t xml:space="preserve"> (CSMT)</w:t>
      </w:r>
    </w:p>
    <w:p w:rsidR="00A2369F" w:rsidRDefault="00AF3CD0" w:rsidP="00A2369F">
      <w:pPr>
        <w:spacing w:after="0" w:line="240" w:lineRule="auto"/>
        <w:ind w:left="720"/>
        <w:jc w:val="both"/>
      </w:pPr>
      <w:r>
        <w:t>The College Director/Principal (see section 4.2),</w:t>
      </w:r>
      <w:r w:rsidR="00A2369F">
        <w:t xml:space="preserve"> Senior Academic Manager</w:t>
      </w:r>
      <w:r>
        <w:t xml:space="preserve"> (see section 4.3.2)</w:t>
      </w:r>
      <w:r w:rsidR="00A2369F">
        <w:t>, Senior Student Services Manager</w:t>
      </w:r>
      <w:r>
        <w:t xml:space="preserve"> (see section 4.3.3)</w:t>
      </w:r>
      <w:r w:rsidR="00A2369F">
        <w:t xml:space="preserve">, and the Director of Marketing and Recruitment </w:t>
      </w:r>
      <w:r>
        <w:t xml:space="preserve">(see section 4.3.4) </w:t>
      </w:r>
      <w:r w:rsidR="00A2369F">
        <w:t xml:space="preserve">together form the CSMT.  The team has oversight of all aspects of the operation of the College including quality </w:t>
      </w:r>
      <w:r w:rsidR="00A2369F">
        <w:lastRenderedPageBreak/>
        <w:t xml:space="preserve">management.  The team meets at least once a </w:t>
      </w:r>
      <w:r w:rsidR="00F10166">
        <w:t>month</w:t>
      </w:r>
      <w:r w:rsidR="00A2369F">
        <w:t xml:space="preserve"> and in addition meets with the wider College staff </w:t>
      </w:r>
      <w:r w:rsidR="00F10166">
        <w:t>in</w:t>
      </w:r>
      <w:r w:rsidR="00A2369F">
        <w:t xml:space="preserve"> general staff meetings at least once per semester. </w:t>
      </w:r>
    </w:p>
    <w:p w:rsidR="00A2369F" w:rsidRDefault="00A2369F" w:rsidP="00AA483C">
      <w:pPr>
        <w:spacing w:after="0" w:line="240" w:lineRule="auto"/>
        <w:ind w:left="709" w:hanging="709"/>
        <w:jc w:val="both"/>
      </w:pPr>
    </w:p>
    <w:p w:rsidR="00AA483C" w:rsidRDefault="00AA483C" w:rsidP="00AA483C">
      <w:pPr>
        <w:spacing w:after="0" w:line="240" w:lineRule="auto"/>
        <w:ind w:left="709" w:hanging="709"/>
        <w:jc w:val="both"/>
      </w:pPr>
      <w:r>
        <w:t>4.1.2</w:t>
      </w:r>
      <w:r>
        <w:tab/>
      </w:r>
      <w:r w:rsidRPr="00AF3CD0">
        <w:rPr>
          <w:u w:val="single"/>
        </w:rPr>
        <w:t>College Learning and Teaching Board</w:t>
      </w:r>
      <w:r w:rsidR="00AF3CD0">
        <w:rPr>
          <w:u w:val="single"/>
        </w:rPr>
        <w:t xml:space="preserve"> (CLTB)</w:t>
      </w:r>
    </w:p>
    <w:p w:rsidR="00AB52CC" w:rsidRDefault="00625C83" w:rsidP="00AB52CC">
      <w:pPr>
        <w:spacing w:after="0" w:line="240" w:lineRule="auto"/>
        <w:ind w:left="709" w:hanging="709"/>
        <w:jc w:val="both"/>
      </w:pPr>
      <w:r>
        <w:tab/>
      </w:r>
      <w:r w:rsidR="00AB52CC">
        <w:t>The CLTB is responsible for the operation and control of the following educational activities:</w:t>
      </w:r>
    </w:p>
    <w:p w:rsidR="00AB52CC" w:rsidRPr="001A783D" w:rsidRDefault="002E6D9D" w:rsidP="001A783D">
      <w:pPr>
        <w:pStyle w:val="ListParagraph"/>
        <w:numPr>
          <w:ilvl w:val="0"/>
          <w:numId w:val="49"/>
        </w:numPr>
        <w:jc w:val="both"/>
        <w:rPr>
          <w:rFonts w:asciiTheme="minorHAnsi" w:hAnsiTheme="minorHAnsi"/>
          <w:sz w:val="22"/>
          <w:szCs w:val="22"/>
        </w:rPr>
      </w:pPr>
      <w:r w:rsidRPr="001A783D">
        <w:rPr>
          <w:rFonts w:asciiTheme="minorHAnsi" w:hAnsiTheme="minorHAnsi"/>
          <w:sz w:val="22"/>
          <w:szCs w:val="22"/>
        </w:rPr>
        <w:t>a</w:t>
      </w:r>
      <w:r w:rsidR="00AB52CC" w:rsidRPr="001A783D">
        <w:rPr>
          <w:rFonts w:asciiTheme="minorHAnsi" w:hAnsiTheme="minorHAnsi"/>
          <w:sz w:val="22"/>
          <w:szCs w:val="22"/>
        </w:rPr>
        <w:t>dmission monitoring and reporting.</w:t>
      </w:r>
    </w:p>
    <w:p w:rsidR="00AB52CC" w:rsidRPr="001A783D" w:rsidRDefault="002E6D9D" w:rsidP="001A783D">
      <w:pPr>
        <w:pStyle w:val="ListParagraph"/>
        <w:numPr>
          <w:ilvl w:val="0"/>
          <w:numId w:val="49"/>
        </w:numPr>
        <w:jc w:val="both"/>
        <w:rPr>
          <w:rFonts w:asciiTheme="minorHAnsi" w:hAnsiTheme="minorHAnsi"/>
          <w:sz w:val="22"/>
          <w:szCs w:val="22"/>
        </w:rPr>
      </w:pPr>
      <w:r w:rsidRPr="001A783D">
        <w:rPr>
          <w:rFonts w:asciiTheme="minorHAnsi" w:hAnsiTheme="minorHAnsi"/>
          <w:sz w:val="22"/>
          <w:szCs w:val="22"/>
        </w:rPr>
        <w:t>t</w:t>
      </w:r>
      <w:r w:rsidR="00AB52CC" w:rsidRPr="001A783D">
        <w:rPr>
          <w:rFonts w:asciiTheme="minorHAnsi" w:hAnsiTheme="minorHAnsi"/>
          <w:sz w:val="22"/>
          <w:szCs w:val="22"/>
        </w:rPr>
        <w:t xml:space="preserve">eaching and delivery of programmes. </w:t>
      </w:r>
    </w:p>
    <w:p w:rsidR="00AB52CC" w:rsidRPr="001A783D" w:rsidRDefault="002E6D9D" w:rsidP="001A783D">
      <w:pPr>
        <w:pStyle w:val="ListParagraph"/>
        <w:numPr>
          <w:ilvl w:val="0"/>
          <w:numId w:val="49"/>
        </w:numPr>
        <w:jc w:val="both"/>
        <w:rPr>
          <w:rFonts w:asciiTheme="minorHAnsi" w:hAnsiTheme="minorHAnsi"/>
          <w:sz w:val="22"/>
          <w:szCs w:val="22"/>
        </w:rPr>
      </w:pPr>
      <w:r w:rsidRPr="001A783D">
        <w:rPr>
          <w:rFonts w:asciiTheme="minorHAnsi" w:hAnsiTheme="minorHAnsi"/>
          <w:sz w:val="22"/>
          <w:szCs w:val="22"/>
        </w:rPr>
        <w:t>o</w:t>
      </w:r>
      <w:r w:rsidR="00AB52CC" w:rsidRPr="001A783D">
        <w:rPr>
          <w:rFonts w:asciiTheme="minorHAnsi" w:hAnsiTheme="minorHAnsi"/>
          <w:sz w:val="22"/>
          <w:szCs w:val="22"/>
        </w:rPr>
        <w:t>ngoing maintenance of academic standards at an operational level.</w:t>
      </w:r>
    </w:p>
    <w:p w:rsidR="00AB52CC" w:rsidRPr="001A783D" w:rsidRDefault="002E6D9D" w:rsidP="001A783D">
      <w:pPr>
        <w:pStyle w:val="ListParagraph"/>
        <w:numPr>
          <w:ilvl w:val="0"/>
          <w:numId w:val="49"/>
        </w:numPr>
        <w:jc w:val="both"/>
        <w:rPr>
          <w:rFonts w:asciiTheme="minorHAnsi" w:hAnsiTheme="minorHAnsi"/>
          <w:sz w:val="22"/>
          <w:szCs w:val="22"/>
        </w:rPr>
      </w:pPr>
      <w:r w:rsidRPr="001A783D">
        <w:rPr>
          <w:rFonts w:asciiTheme="minorHAnsi" w:hAnsiTheme="minorHAnsi"/>
          <w:sz w:val="22"/>
          <w:szCs w:val="22"/>
        </w:rPr>
        <w:t>t</w:t>
      </w:r>
      <w:r w:rsidR="00AB52CC" w:rsidRPr="001A783D">
        <w:rPr>
          <w:rFonts w:asciiTheme="minorHAnsi" w:hAnsiTheme="minorHAnsi"/>
          <w:sz w:val="22"/>
          <w:szCs w:val="22"/>
        </w:rPr>
        <w:t>he appointment and removal of external examiners (where appropriate).</w:t>
      </w:r>
    </w:p>
    <w:p w:rsidR="00AB52CC" w:rsidRPr="001A783D" w:rsidRDefault="002E6D9D" w:rsidP="001A783D">
      <w:pPr>
        <w:pStyle w:val="ListParagraph"/>
        <w:numPr>
          <w:ilvl w:val="0"/>
          <w:numId w:val="49"/>
        </w:numPr>
        <w:jc w:val="both"/>
        <w:rPr>
          <w:rFonts w:asciiTheme="minorHAnsi" w:hAnsiTheme="minorHAnsi"/>
          <w:sz w:val="22"/>
          <w:szCs w:val="22"/>
        </w:rPr>
      </w:pPr>
      <w:r w:rsidRPr="001A783D">
        <w:rPr>
          <w:rFonts w:asciiTheme="minorHAnsi" w:hAnsiTheme="minorHAnsi"/>
          <w:sz w:val="22"/>
          <w:szCs w:val="22"/>
        </w:rPr>
        <w:t>m</w:t>
      </w:r>
      <w:r w:rsidR="00AB52CC" w:rsidRPr="001A783D">
        <w:rPr>
          <w:rFonts w:asciiTheme="minorHAnsi" w:hAnsiTheme="minorHAnsi"/>
          <w:sz w:val="22"/>
          <w:szCs w:val="22"/>
        </w:rPr>
        <w:t>oderation (internal and external) of assessment to approved models.</w:t>
      </w:r>
    </w:p>
    <w:p w:rsidR="00AB52CC" w:rsidRPr="001A783D" w:rsidRDefault="002E6D9D" w:rsidP="001A783D">
      <w:pPr>
        <w:pStyle w:val="ListParagraph"/>
        <w:numPr>
          <w:ilvl w:val="0"/>
          <w:numId w:val="49"/>
        </w:numPr>
        <w:jc w:val="both"/>
        <w:rPr>
          <w:rFonts w:asciiTheme="minorHAnsi" w:hAnsiTheme="minorHAnsi"/>
          <w:sz w:val="22"/>
          <w:szCs w:val="22"/>
        </w:rPr>
      </w:pPr>
      <w:r w:rsidRPr="001A783D">
        <w:rPr>
          <w:rFonts w:asciiTheme="minorHAnsi" w:hAnsiTheme="minorHAnsi"/>
          <w:sz w:val="22"/>
          <w:szCs w:val="22"/>
        </w:rPr>
        <w:t>p</w:t>
      </w:r>
      <w:r w:rsidR="00AB52CC" w:rsidRPr="001A783D">
        <w:rPr>
          <w:rFonts w:asciiTheme="minorHAnsi" w:hAnsiTheme="minorHAnsi"/>
          <w:sz w:val="22"/>
          <w:szCs w:val="22"/>
        </w:rPr>
        <w:t>rocedures for assessment and examination of the academic performance of College students.</w:t>
      </w:r>
    </w:p>
    <w:p w:rsidR="00AB52CC" w:rsidRPr="001A783D" w:rsidRDefault="002E6D9D" w:rsidP="001A783D">
      <w:pPr>
        <w:pStyle w:val="ListParagraph"/>
        <w:numPr>
          <w:ilvl w:val="0"/>
          <w:numId w:val="49"/>
        </w:numPr>
        <w:jc w:val="both"/>
        <w:rPr>
          <w:rFonts w:asciiTheme="minorHAnsi" w:hAnsiTheme="minorHAnsi"/>
          <w:sz w:val="22"/>
          <w:szCs w:val="22"/>
        </w:rPr>
      </w:pPr>
      <w:r w:rsidRPr="001A783D">
        <w:rPr>
          <w:rFonts w:asciiTheme="minorHAnsi" w:hAnsiTheme="minorHAnsi"/>
          <w:sz w:val="22"/>
          <w:szCs w:val="22"/>
        </w:rPr>
        <w:t>o</w:t>
      </w:r>
      <w:r w:rsidR="00AB52CC" w:rsidRPr="001A783D">
        <w:rPr>
          <w:rFonts w:asciiTheme="minorHAnsi" w:hAnsiTheme="minorHAnsi"/>
          <w:sz w:val="22"/>
          <w:szCs w:val="22"/>
        </w:rPr>
        <w:t>ngoing monitoring and reporting student attendance.</w:t>
      </w:r>
    </w:p>
    <w:p w:rsidR="00AB52CC" w:rsidRPr="001A783D" w:rsidRDefault="002E6D9D" w:rsidP="001A783D">
      <w:pPr>
        <w:pStyle w:val="ListParagraph"/>
        <w:numPr>
          <w:ilvl w:val="0"/>
          <w:numId w:val="49"/>
        </w:numPr>
        <w:jc w:val="both"/>
        <w:rPr>
          <w:rFonts w:asciiTheme="minorHAnsi" w:hAnsiTheme="minorHAnsi"/>
          <w:sz w:val="22"/>
          <w:szCs w:val="22"/>
        </w:rPr>
      </w:pPr>
      <w:r w:rsidRPr="001A783D">
        <w:rPr>
          <w:rFonts w:asciiTheme="minorHAnsi" w:hAnsiTheme="minorHAnsi"/>
          <w:sz w:val="22"/>
          <w:szCs w:val="22"/>
        </w:rPr>
        <w:t>o</w:t>
      </w:r>
      <w:r w:rsidR="00AB52CC" w:rsidRPr="001A783D">
        <w:rPr>
          <w:rFonts w:asciiTheme="minorHAnsi" w:hAnsiTheme="minorHAnsi"/>
          <w:sz w:val="22"/>
          <w:szCs w:val="22"/>
        </w:rPr>
        <w:t xml:space="preserve">ngoing academic monitoring and reporting of all learning </w:t>
      </w:r>
      <w:r w:rsidR="00F76AD3" w:rsidRPr="001A783D">
        <w:rPr>
          <w:rFonts w:asciiTheme="minorHAnsi" w:hAnsiTheme="minorHAnsi"/>
          <w:sz w:val="22"/>
          <w:szCs w:val="22"/>
        </w:rPr>
        <w:t xml:space="preserve">and teaching </w:t>
      </w:r>
      <w:r w:rsidR="00AB52CC" w:rsidRPr="001A783D">
        <w:rPr>
          <w:rFonts w:asciiTheme="minorHAnsi" w:hAnsiTheme="minorHAnsi"/>
          <w:sz w:val="22"/>
          <w:szCs w:val="22"/>
        </w:rPr>
        <w:t>ma</w:t>
      </w:r>
      <w:r w:rsidR="001A783D" w:rsidRPr="001A783D">
        <w:rPr>
          <w:rFonts w:asciiTheme="minorHAnsi" w:hAnsiTheme="minorHAnsi"/>
          <w:sz w:val="22"/>
          <w:szCs w:val="22"/>
        </w:rPr>
        <w:t>tters concerning curriculum and o</w:t>
      </w:r>
      <w:r w:rsidR="00AB52CC" w:rsidRPr="001A783D">
        <w:rPr>
          <w:rFonts w:asciiTheme="minorHAnsi" w:hAnsiTheme="minorHAnsi"/>
          <w:sz w:val="22"/>
          <w:szCs w:val="22"/>
        </w:rPr>
        <w:t>utcomes. (inclusive of University tracking data) per cohort.</w:t>
      </w:r>
    </w:p>
    <w:p w:rsidR="001A783D" w:rsidRPr="001A783D" w:rsidRDefault="002E6D9D" w:rsidP="001A783D">
      <w:pPr>
        <w:pStyle w:val="ListParagraph"/>
        <w:numPr>
          <w:ilvl w:val="0"/>
          <w:numId w:val="49"/>
        </w:numPr>
        <w:jc w:val="both"/>
        <w:rPr>
          <w:rFonts w:asciiTheme="minorHAnsi" w:hAnsiTheme="minorHAnsi"/>
          <w:sz w:val="22"/>
          <w:szCs w:val="22"/>
        </w:rPr>
      </w:pPr>
      <w:r w:rsidRPr="001A783D">
        <w:rPr>
          <w:rFonts w:asciiTheme="minorHAnsi" w:hAnsiTheme="minorHAnsi"/>
          <w:sz w:val="22"/>
          <w:szCs w:val="22"/>
        </w:rPr>
        <w:t>m</w:t>
      </w:r>
      <w:r w:rsidR="00AB52CC" w:rsidRPr="001A783D">
        <w:rPr>
          <w:rFonts w:asciiTheme="minorHAnsi" w:hAnsiTheme="minorHAnsi"/>
          <w:sz w:val="22"/>
          <w:szCs w:val="22"/>
        </w:rPr>
        <w:t>anagement of the Students in Jeopardy programme and emplacement o</w:t>
      </w:r>
      <w:r w:rsidR="001A783D" w:rsidRPr="001A783D">
        <w:rPr>
          <w:rFonts w:asciiTheme="minorHAnsi" w:hAnsiTheme="minorHAnsi"/>
          <w:sz w:val="22"/>
          <w:szCs w:val="22"/>
        </w:rPr>
        <w:t>f individual student management</w:t>
      </w:r>
    </w:p>
    <w:p w:rsidR="00AB52CC" w:rsidRPr="001A783D" w:rsidRDefault="00AB52CC" w:rsidP="001A783D">
      <w:pPr>
        <w:pStyle w:val="ListParagraph"/>
        <w:numPr>
          <w:ilvl w:val="0"/>
          <w:numId w:val="49"/>
        </w:numPr>
        <w:jc w:val="both"/>
        <w:rPr>
          <w:rFonts w:asciiTheme="minorHAnsi" w:hAnsiTheme="minorHAnsi"/>
          <w:sz w:val="22"/>
          <w:szCs w:val="22"/>
        </w:rPr>
      </w:pPr>
      <w:r w:rsidRPr="001A783D">
        <w:rPr>
          <w:rFonts w:asciiTheme="minorHAnsi" w:hAnsiTheme="minorHAnsi"/>
          <w:sz w:val="22"/>
          <w:szCs w:val="22"/>
        </w:rPr>
        <w:t xml:space="preserve">plans to ensure learning opportunities and pastoral care standards are net. </w:t>
      </w:r>
    </w:p>
    <w:p w:rsidR="00AB52CC" w:rsidRPr="001A783D" w:rsidRDefault="002E6D9D" w:rsidP="001A783D">
      <w:pPr>
        <w:pStyle w:val="ListParagraph"/>
        <w:numPr>
          <w:ilvl w:val="0"/>
          <w:numId w:val="49"/>
        </w:numPr>
        <w:jc w:val="both"/>
        <w:rPr>
          <w:rFonts w:asciiTheme="minorHAnsi" w:hAnsiTheme="minorHAnsi"/>
          <w:sz w:val="22"/>
          <w:szCs w:val="22"/>
        </w:rPr>
      </w:pPr>
      <w:r w:rsidRPr="001A783D">
        <w:rPr>
          <w:rFonts w:asciiTheme="minorHAnsi" w:hAnsiTheme="minorHAnsi"/>
          <w:sz w:val="22"/>
          <w:szCs w:val="22"/>
        </w:rPr>
        <w:t>t</w:t>
      </w:r>
      <w:r w:rsidR="00AB52CC" w:rsidRPr="001A783D">
        <w:rPr>
          <w:rFonts w:asciiTheme="minorHAnsi" w:hAnsiTheme="minorHAnsi"/>
          <w:sz w:val="22"/>
          <w:szCs w:val="22"/>
        </w:rPr>
        <w:t xml:space="preserve">he proposal of new programmes or changes to existing programmes – entry criteria, pathways, structure and assessment, points of articulation, curriculum content and LOs, see </w:t>
      </w:r>
      <w:r w:rsidR="00F76AD3" w:rsidRPr="001A783D">
        <w:rPr>
          <w:rFonts w:asciiTheme="minorHAnsi" w:hAnsiTheme="minorHAnsi"/>
          <w:sz w:val="22"/>
          <w:szCs w:val="22"/>
        </w:rPr>
        <w:t>NPR QS1</w:t>
      </w:r>
      <w:r w:rsidR="00AB52CC" w:rsidRPr="001A783D">
        <w:rPr>
          <w:rFonts w:asciiTheme="minorHAnsi" w:hAnsiTheme="minorHAnsi"/>
          <w:sz w:val="22"/>
          <w:szCs w:val="22"/>
        </w:rPr>
        <w:t>.</w:t>
      </w:r>
    </w:p>
    <w:p w:rsidR="00AB52CC" w:rsidRPr="001A783D" w:rsidRDefault="002E6D9D" w:rsidP="001A783D">
      <w:pPr>
        <w:pStyle w:val="ListParagraph"/>
        <w:numPr>
          <w:ilvl w:val="0"/>
          <w:numId w:val="49"/>
        </w:numPr>
        <w:jc w:val="both"/>
        <w:rPr>
          <w:rFonts w:asciiTheme="minorHAnsi" w:hAnsiTheme="minorHAnsi"/>
          <w:sz w:val="22"/>
          <w:szCs w:val="22"/>
        </w:rPr>
      </w:pPr>
      <w:r w:rsidRPr="001A783D">
        <w:rPr>
          <w:rFonts w:asciiTheme="minorHAnsi" w:hAnsiTheme="minorHAnsi"/>
          <w:sz w:val="22"/>
          <w:szCs w:val="22"/>
        </w:rPr>
        <w:t>t</w:t>
      </w:r>
      <w:r w:rsidR="00AB52CC" w:rsidRPr="001A783D">
        <w:rPr>
          <w:rFonts w:asciiTheme="minorHAnsi" w:hAnsiTheme="minorHAnsi"/>
          <w:sz w:val="22"/>
          <w:szCs w:val="22"/>
        </w:rPr>
        <w:t>he procedure for the expulsion of students for academic, behavioural or fraudulent reasons.</w:t>
      </w:r>
    </w:p>
    <w:p w:rsidR="00AB52CC" w:rsidRPr="001A783D" w:rsidRDefault="002E6D9D" w:rsidP="001A783D">
      <w:pPr>
        <w:pStyle w:val="ListParagraph"/>
        <w:numPr>
          <w:ilvl w:val="0"/>
          <w:numId w:val="49"/>
        </w:numPr>
        <w:jc w:val="both"/>
        <w:rPr>
          <w:rFonts w:asciiTheme="minorHAnsi" w:hAnsiTheme="minorHAnsi"/>
          <w:sz w:val="22"/>
          <w:szCs w:val="22"/>
        </w:rPr>
      </w:pPr>
      <w:r w:rsidRPr="001A783D">
        <w:rPr>
          <w:rFonts w:asciiTheme="minorHAnsi" w:hAnsiTheme="minorHAnsi"/>
          <w:sz w:val="22"/>
          <w:szCs w:val="22"/>
        </w:rPr>
        <w:t>c</w:t>
      </w:r>
      <w:r w:rsidR="00AB52CC" w:rsidRPr="001A783D">
        <w:rPr>
          <w:rFonts w:asciiTheme="minorHAnsi" w:hAnsiTheme="minorHAnsi"/>
          <w:sz w:val="22"/>
          <w:szCs w:val="22"/>
        </w:rPr>
        <w:t xml:space="preserve">onsideration and approval of student status with directives to </w:t>
      </w:r>
      <w:r w:rsidR="00F76AD3" w:rsidRPr="001A783D">
        <w:rPr>
          <w:rFonts w:asciiTheme="minorHAnsi" w:hAnsiTheme="minorHAnsi"/>
          <w:sz w:val="22"/>
          <w:szCs w:val="22"/>
        </w:rPr>
        <w:t>TIER 4</w:t>
      </w:r>
      <w:r w:rsidR="00AB52CC" w:rsidRPr="001A783D">
        <w:rPr>
          <w:rFonts w:asciiTheme="minorHAnsi" w:hAnsiTheme="minorHAnsi"/>
          <w:sz w:val="22"/>
          <w:szCs w:val="22"/>
        </w:rPr>
        <w:t xml:space="preserve"> notification</w:t>
      </w:r>
      <w:r w:rsidR="00F76AD3" w:rsidRPr="001A783D">
        <w:rPr>
          <w:rFonts w:asciiTheme="minorHAnsi" w:hAnsiTheme="minorHAnsi"/>
          <w:sz w:val="22"/>
          <w:szCs w:val="22"/>
        </w:rPr>
        <w:t>s</w:t>
      </w:r>
      <w:r w:rsidR="001A783D" w:rsidRPr="001A783D">
        <w:rPr>
          <w:rFonts w:asciiTheme="minorHAnsi" w:hAnsiTheme="minorHAnsi"/>
          <w:sz w:val="22"/>
          <w:szCs w:val="22"/>
        </w:rPr>
        <w:t xml:space="preserve"> and Student Census </w:t>
      </w:r>
      <w:r w:rsidR="00AB52CC" w:rsidRPr="001A783D">
        <w:rPr>
          <w:rFonts w:asciiTheme="minorHAnsi" w:hAnsiTheme="minorHAnsi"/>
          <w:sz w:val="22"/>
          <w:szCs w:val="22"/>
        </w:rPr>
        <w:t>Current, Withdrawn, Deferred, Leave of Absence, Exclusion (Termination of Candidature)</w:t>
      </w:r>
    </w:p>
    <w:p w:rsidR="00AB52CC" w:rsidRPr="001A783D" w:rsidRDefault="002E6D9D" w:rsidP="001A783D">
      <w:pPr>
        <w:pStyle w:val="ListParagraph"/>
        <w:numPr>
          <w:ilvl w:val="0"/>
          <w:numId w:val="49"/>
        </w:numPr>
        <w:jc w:val="both"/>
        <w:rPr>
          <w:rFonts w:asciiTheme="minorHAnsi" w:hAnsiTheme="minorHAnsi"/>
          <w:sz w:val="22"/>
          <w:szCs w:val="22"/>
        </w:rPr>
      </w:pPr>
      <w:r w:rsidRPr="001A783D">
        <w:rPr>
          <w:rFonts w:asciiTheme="minorHAnsi" w:hAnsiTheme="minorHAnsi"/>
          <w:sz w:val="22"/>
          <w:szCs w:val="22"/>
        </w:rPr>
        <w:t>s</w:t>
      </w:r>
      <w:r w:rsidR="00AB52CC" w:rsidRPr="001A783D">
        <w:rPr>
          <w:rFonts w:asciiTheme="minorHAnsi" w:hAnsiTheme="minorHAnsi"/>
          <w:sz w:val="22"/>
          <w:szCs w:val="22"/>
        </w:rPr>
        <w:t xml:space="preserve">tudent </w:t>
      </w:r>
      <w:r w:rsidRPr="001A783D">
        <w:rPr>
          <w:rFonts w:asciiTheme="minorHAnsi" w:hAnsiTheme="minorHAnsi"/>
          <w:sz w:val="22"/>
          <w:szCs w:val="22"/>
        </w:rPr>
        <w:t>c</w:t>
      </w:r>
      <w:r w:rsidR="00AB52CC" w:rsidRPr="001A783D">
        <w:rPr>
          <w:rFonts w:asciiTheme="minorHAnsi" w:hAnsiTheme="minorHAnsi"/>
          <w:sz w:val="22"/>
          <w:szCs w:val="22"/>
        </w:rPr>
        <w:t>ensus measures.</w:t>
      </w:r>
    </w:p>
    <w:p w:rsidR="00AB52CC" w:rsidRPr="001A783D" w:rsidRDefault="002E6D9D" w:rsidP="001A783D">
      <w:pPr>
        <w:pStyle w:val="ListParagraph"/>
        <w:numPr>
          <w:ilvl w:val="0"/>
          <w:numId w:val="49"/>
        </w:numPr>
        <w:jc w:val="both"/>
        <w:rPr>
          <w:rFonts w:asciiTheme="minorHAnsi" w:hAnsiTheme="minorHAnsi"/>
          <w:sz w:val="22"/>
          <w:szCs w:val="22"/>
        </w:rPr>
      </w:pPr>
      <w:r w:rsidRPr="001A783D">
        <w:rPr>
          <w:rFonts w:asciiTheme="minorHAnsi" w:hAnsiTheme="minorHAnsi"/>
          <w:sz w:val="22"/>
          <w:szCs w:val="22"/>
        </w:rPr>
        <w:t>s</w:t>
      </w:r>
      <w:r w:rsidR="00AB52CC" w:rsidRPr="001A783D">
        <w:rPr>
          <w:rFonts w:asciiTheme="minorHAnsi" w:hAnsiTheme="minorHAnsi"/>
          <w:sz w:val="22"/>
          <w:szCs w:val="22"/>
        </w:rPr>
        <w:t>tudent retention programmes and mechanisms.</w:t>
      </w:r>
    </w:p>
    <w:p w:rsidR="001A783D" w:rsidRPr="001A783D" w:rsidRDefault="002E6D9D" w:rsidP="001A783D">
      <w:pPr>
        <w:pStyle w:val="ListParagraph"/>
        <w:numPr>
          <w:ilvl w:val="0"/>
          <w:numId w:val="49"/>
        </w:numPr>
        <w:jc w:val="both"/>
        <w:rPr>
          <w:rFonts w:asciiTheme="minorHAnsi" w:hAnsiTheme="minorHAnsi"/>
          <w:sz w:val="22"/>
          <w:szCs w:val="22"/>
        </w:rPr>
      </w:pPr>
      <w:r w:rsidRPr="001A783D">
        <w:rPr>
          <w:rFonts w:asciiTheme="minorHAnsi" w:hAnsiTheme="minorHAnsi"/>
          <w:sz w:val="22"/>
          <w:szCs w:val="22"/>
        </w:rPr>
        <w:t>i</w:t>
      </w:r>
      <w:r w:rsidR="00AB52CC" w:rsidRPr="001A783D">
        <w:rPr>
          <w:rFonts w:asciiTheme="minorHAnsi" w:hAnsiTheme="minorHAnsi"/>
          <w:sz w:val="22"/>
          <w:szCs w:val="22"/>
        </w:rPr>
        <w:t>nformal student Appeals</w:t>
      </w:r>
      <w:r w:rsidR="00F76AD3" w:rsidRPr="001A783D">
        <w:rPr>
          <w:rFonts w:asciiTheme="minorHAnsi" w:hAnsiTheme="minorHAnsi"/>
          <w:sz w:val="22"/>
          <w:szCs w:val="22"/>
        </w:rPr>
        <w:t>,</w:t>
      </w:r>
      <w:r w:rsidR="00AB52CC" w:rsidRPr="001A783D">
        <w:rPr>
          <w:rFonts w:asciiTheme="minorHAnsi" w:hAnsiTheme="minorHAnsi"/>
          <w:sz w:val="22"/>
          <w:szCs w:val="22"/>
        </w:rPr>
        <w:t xml:space="preserve"> Grievance </w:t>
      </w:r>
      <w:r w:rsidR="00F76AD3" w:rsidRPr="001A783D">
        <w:rPr>
          <w:rFonts w:asciiTheme="minorHAnsi" w:hAnsiTheme="minorHAnsi"/>
          <w:sz w:val="22"/>
          <w:szCs w:val="22"/>
        </w:rPr>
        <w:t xml:space="preserve">and/or complaints </w:t>
      </w:r>
      <w:r w:rsidR="00AB52CC" w:rsidRPr="001A783D">
        <w:rPr>
          <w:rFonts w:asciiTheme="minorHAnsi" w:hAnsiTheme="minorHAnsi"/>
          <w:sz w:val="22"/>
          <w:szCs w:val="22"/>
        </w:rPr>
        <w:t xml:space="preserve">processes, see </w:t>
      </w:r>
      <w:r w:rsidR="00F76AD3" w:rsidRPr="001A783D">
        <w:rPr>
          <w:rFonts w:asciiTheme="minorHAnsi" w:hAnsiTheme="minorHAnsi"/>
          <w:sz w:val="22"/>
          <w:szCs w:val="22"/>
        </w:rPr>
        <w:t>NPRs QS10 and QS11</w:t>
      </w:r>
      <w:r w:rsidR="00AB52CC" w:rsidRPr="001A783D">
        <w:rPr>
          <w:rFonts w:asciiTheme="minorHAnsi" w:hAnsiTheme="minorHAnsi"/>
          <w:sz w:val="22"/>
          <w:szCs w:val="22"/>
        </w:rPr>
        <w:t xml:space="preserve">, or referral to </w:t>
      </w:r>
    </w:p>
    <w:p w:rsidR="00AB52CC" w:rsidRPr="001A783D" w:rsidRDefault="00AB52CC" w:rsidP="001A783D">
      <w:pPr>
        <w:pStyle w:val="ListParagraph"/>
        <w:numPr>
          <w:ilvl w:val="0"/>
          <w:numId w:val="49"/>
        </w:numPr>
        <w:jc w:val="both"/>
        <w:rPr>
          <w:rFonts w:asciiTheme="minorHAnsi" w:hAnsiTheme="minorHAnsi"/>
          <w:sz w:val="22"/>
          <w:szCs w:val="22"/>
        </w:rPr>
      </w:pPr>
      <w:r w:rsidRPr="001A783D">
        <w:rPr>
          <w:rFonts w:asciiTheme="minorHAnsi" w:hAnsiTheme="minorHAnsi"/>
          <w:sz w:val="22"/>
          <w:szCs w:val="22"/>
        </w:rPr>
        <w:t xml:space="preserve">the NVT UK </w:t>
      </w:r>
      <w:r w:rsidR="002E6D9D" w:rsidRPr="001A783D">
        <w:rPr>
          <w:rFonts w:asciiTheme="minorHAnsi" w:hAnsiTheme="minorHAnsi"/>
          <w:sz w:val="22"/>
          <w:szCs w:val="22"/>
        </w:rPr>
        <w:t>QaSO</w:t>
      </w:r>
      <w:r w:rsidRPr="001A783D">
        <w:rPr>
          <w:rFonts w:asciiTheme="minorHAnsi" w:hAnsiTheme="minorHAnsi"/>
          <w:sz w:val="22"/>
          <w:szCs w:val="22"/>
        </w:rPr>
        <w:t>.</w:t>
      </w:r>
    </w:p>
    <w:p w:rsidR="00AB52CC" w:rsidRPr="001A783D" w:rsidRDefault="002E6D9D" w:rsidP="001A783D">
      <w:pPr>
        <w:pStyle w:val="ListParagraph"/>
        <w:numPr>
          <w:ilvl w:val="0"/>
          <w:numId w:val="49"/>
        </w:numPr>
        <w:jc w:val="both"/>
        <w:rPr>
          <w:rFonts w:asciiTheme="minorHAnsi" w:hAnsiTheme="minorHAnsi"/>
          <w:sz w:val="22"/>
          <w:szCs w:val="22"/>
        </w:rPr>
      </w:pPr>
      <w:r w:rsidRPr="001A783D">
        <w:rPr>
          <w:rFonts w:asciiTheme="minorHAnsi" w:hAnsiTheme="minorHAnsi"/>
          <w:sz w:val="22"/>
          <w:szCs w:val="22"/>
        </w:rPr>
        <w:t>c</w:t>
      </w:r>
      <w:r w:rsidR="00AB52CC" w:rsidRPr="001A783D">
        <w:rPr>
          <w:rFonts w:asciiTheme="minorHAnsi" w:hAnsiTheme="minorHAnsi"/>
          <w:sz w:val="22"/>
          <w:szCs w:val="22"/>
        </w:rPr>
        <w:t>onsideration of the development of the academic and support service activities of the College and the resources needed to support them and for advising the NVT UK Teaching and Learning Committee/</w:t>
      </w:r>
      <w:r w:rsidR="00F76AD3" w:rsidRPr="001A783D">
        <w:rPr>
          <w:rFonts w:asciiTheme="minorHAnsi" w:hAnsiTheme="minorHAnsi"/>
          <w:sz w:val="22"/>
          <w:szCs w:val="22"/>
        </w:rPr>
        <w:t xml:space="preserve">Forum and </w:t>
      </w:r>
      <w:r w:rsidRPr="001A783D">
        <w:rPr>
          <w:rFonts w:asciiTheme="minorHAnsi" w:hAnsiTheme="minorHAnsi"/>
          <w:sz w:val="22"/>
          <w:szCs w:val="22"/>
        </w:rPr>
        <w:t>QaSO</w:t>
      </w:r>
      <w:r w:rsidR="00AB52CC" w:rsidRPr="001A783D">
        <w:rPr>
          <w:rFonts w:asciiTheme="minorHAnsi" w:hAnsiTheme="minorHAnsi"/>
          <w:sz w:val="22"/>
          <w:szCs w:val="22"/>
        </w:rPr>
        <w:t xml:space="preserve"> of strategically related issues.</w:t>
      </w:r>
    </w:p>
    <w:p w:rsidR="00AB52CC" w:rsidRPr="001A783D" w:rsidRDefault="002E6D9D" w:rsidP="001A783D">
      <w:pPr>
        <w:pStyle w:val="ListParagraph"/>
        <w:numPr>
          <w:ilvl w:val="0"/>
          <w:numId w:val="49"/>
        </w:numPr>
        <w:jc w:val="both"/>
        <w:rPr>
          <w:rFonts w:asciiTheme="minorHAnsi" w:hAnsiTheme="minorHAnsi"/>
          <w:sz w:val="22"/>
          <w:szCs w:val="22"/>
        </w:rPr>
      </w:pPr>
      <w:r w:rsidRPr="001A783D">
        <w:rPr>
          <w:rFonts w:asciiTheme="minorHAnsi" w:hAnsiTheme="minorHAnsi"/>
          <w:sz w:val="22"/>
          <w:szCs w:val="22"/>
        </w:rPr>
        <w:t>a</w:t>
      </w:r>
      <w:r w:rsidR="00AB52CC" w:rsidRPr="001A783D">
        <w:rPr>
          <w:rFonts w:asciiTheme="minorHAnsi" w:hAnsiTheme="minorHAnsi"/>
          <w:sz w:val="22"/>
          <w:szCs w:val="22"/>
        </w:rPr>
        <w:t>dvising on such other matters as per the directives of the NVT UK Teaching and Learning Committee/</w:t>
      </w:r>
      <w:r w:rsidRPr="001A783D">
        <w:rPr>
          <w:rFonts w:asciiTheme="minorHAnsi" w:hAnsiTheme="minorHAnsi"/>
          <w:sz w:val="22"/>
          <w:szCs w:val="22"/>
        </w:rPr>
        <w:t>QaSO</w:t>
      </w:r>
      <w:r w:rsidR="001A783D" w:rsidRPr="001A783D">
        <w:rPr>
          <w:rFonts w:asciiTheme="minorHAnsi" w:hAnsiTheme="minorHAnsi"/>
          <w:sz w:val="22"/>
          <w:szCs w:val="22"/>
        </w:rPr>
        <w:t xml:space="preserve">, </w:t>
      </w:r>
      <w:r w:rsidR="00AB52CC" w:rsidRPr="001A783D">
        <w:rPr>
          <w:rFonts w:asciiTheme="minorHAnsi" w:hAnsiTheme="minorHAnsi"/>
          <w:sz w:val="22"/>
          <w:szCs w:val="22"/>
        </w:rPr>
        <w:t xml:space="preserve">the representation of students, staff of the College, members of the University and consultants may refer to the </w:t>
      </w:r>
      <w:r w:rsidR="00F76AD3" w:rsidRPr="001A783D">
        <w:rPr>
          <w:rFonts w:asciiTheme="minorHAnsi" w:hAnsiTheme="minorHAnsi"/>
          <w:sz w:val="22"/>
          <w:szCs w:val="22"/>
        </w:rPr>
        <w:t>CLTB</w:t>
      </w:r>
      <w:r w:rsidR="00AB52CC" w:rsidRPr="001A783D">
        <w:rPr>
          <w:rFonts w:asciiTheme="minorHAnsi" w:hAnsiTheme="minorHAnsi"/>
          <w:sz w:val="22"/>
          <w:szCs w:val="22"/>
        </w:rPr>
        <w:t>.</w:t>
      </w:r>
    </w:p>
    <w:p w:rsidR="00AB52CC" w:rsidRPr="001A783D" w:rsidRDefault="002E6D9D" w:rsidP="001A783D">
      <w:pPr>
        <w:pStyle w:val="ListParagraph"/>
        <w:numPr>
          <w:ilvl w:val="0"/>
          <w:numId w:val="49"/>
        </w:numPr>
        <w:jc w:val="both"/>
        <w:rPr>
          <w:rFonts w:asciiTheme="minorHAnsi" w:hAnsiTheme="minorHAnsi"/>
          <w:sz w:val="22"/>
          <w:szCs w:val="22"/>
        </w:rPr>
      </w:pPr>
      <w:r w:rsidRPr="001A783D">
        <w:rPr>
          <w:rFonts w:asciiTheme="minorHAnsi" w:hAnsiTheme="minorHAnsi"/>
          <w:sz w:val="22"/>
          <w:szCs w:val="22"/>
        </w:rPr>
        <w:t>r</w:t>
      </w:r>
      <w:r w:rsidR="00AB52CC" w:rsidRPr="001A783D">
        <w:rPr>
          <w:rFonts w:asciiTheme="minorHAnsi" w:hAnsiTheme="minorHAnsi"/>
          <w:sz w:val="22"/>
          <w:szCs w:val="22"/>
        </w:rPr>
        <w:t>eport on all academic and support services items to the NVT UK Q</w:t>
      </w:r>
      <w:r w:rsidR="00F76AD3" w:rsidRPr="001A783D">
        <w:rPr>
          <w:rFonts w:asciiTheme="minorHAnsi" w:hAnsiTheme="minorHAnsi"/>
          <w:sz w:val="22"/>
          <w:szCs w:val="22"/>
        </w:rPr>
        <w:t>a</w:t>
      </w:r>
      <w:r w:rsidR="00AB52CC" w:rsidRPr="001A783D">
        <w:rPr>
          <w:rFonts w:asciiTheme="minorHAnsi" w:hAnsiTheme="minorHAnsi"/>
          <w:sz w:val="22"/>
          <w:szCs w:val="22"/>
        </w:rPr>
        <w:t xml:space="preserve">SO as determined by collective </w:t>
      </w:r>
      <w:r w:rsidR="00F76AD3" w:rsidRPr="001A783D">
        <w:rPr>
          <w:rFonts w:asciiTheme="minorHAnsi" w:hAnsiTheme="minorHAnsi"/>
          <w:sz w:val="22"/>
          <w:szCs w:val="22"/>
        </w:rPr>
        <w:t xml:space="preserve">NPRs and CQM </w:t>
      </w:r>
      <w:r w:rsidR="00AB52CC" w:rsidRPr="001A783D">
        <w:rPr>
          <w:rFonts w:asciiTheme="minorHAnsi" w:hAnsiTheme="minorHAnsi"/>
          <w:sz w:val="22"/>
          <w:szCs w:val="22"/>
        </w:rPr>
        <w:t>protocols.</w:t>
      </w:r>
    </w:p>
    <w:p w:rsidR="00AB52CC" w:rsidRDefault="00AB52CC" w:rsidP="00AB52CC">
      <w:pPr>
        <w:spacing w:after="0" w:line="240" w:lineRule="auto"/>
        <w:ind w:left="709" w:hanging="709"/>
        <w:jc w:val="both"/>
      </w:pPr>
    </w:p>
    <w:p w:rsidR="00AA483C" w:rsidRPr="00625C83" w:rsidRDefault="00F76AD3" w:rsidP="00AB52CC">
      <w:pPr>
        <w:spacing w:after="0" w:line="240" w:lineRule="auto"/>
        <w:ind w:left="709" w:hanging="709"/>
        <w:jc w:val="both"/>
        <w:rPr>
          <w:color w:val="FF0000"/>
        </w:rPr>
      </w:pPr>
      <w:r>
        <w:tab/>
      </w:r>
      <w:r>
        <w:tab/>
      </w:r>
      <w:r w:rsidR="00AB52CC">
        <w:t xml:space="preserve">The </w:t>
      </w:r>
      <w:r>
        <w:t>CLTB</w:t>
      </w:r>
      <w:r w:rsidR="00AB52CC">
        <w:t xml:space="preserve"> may consider ‘extenuating circumstance’, along with Appeal and Review applications for </w:t>
      </w:r>
      <w:r w:rsidR="00AB52CC">
        <w:tab/>
        <w:t xml:space="preserve">referral to College Module Panels and College </w:t>
      </w:r>
      <w:r>
        <w:t xml:space="preserve">Progression </w:t>
      </w:r>
      <w:r w:rsidR="00AB52CC">
        <w:t xml:space="preserve">Boards </w:t>
      </w:r>
      <w:r>
        <w:t>where appropriate.</w:t>
      </w:r>
    </w:p>
    <w:p w:rsidR="00A2369F" w:rsidRDefault="00A2369F" w:rsidP="00AA483C">
      <w:pPr>
        <w:spacing w:after="0" w:line="240" w:lineRule="auto"/>
        <w:ind w:left="709" w:hanging="709"/>
        <w:jc w:val="both"/>
      </w:pPr>
    </w:p>
    <w:p w:rsidR="00AA483C" w:rsidRDefault="00AA483C" w:rsidP="00AA483C">
      <w:pPr>
        <w:spacing w:after="0" w:line="240" w:lineRule="auto"/>
        <w:ind w:left="709" w:hanging="709"/>
        <w:jc w:val="both"/>
      </w:pPr>
      <w:r>
        <w:t>4.1.3</w:t>
      </w:r>
      <w:r>
        <w:tab/>
      </w:r>
      <w:r w:rsidRPr="00AF3CD0">
        <w:rPr>
          <w:u w:val="single"/>
        </w:rPr>
        <w:t xml:space="preserve">College Enhancement </w:t>
      </w:r>
      <w:r w:rsidR="00F10166">
        <w:rPr>
          <w:u w:val="single"/>
        </w:rPr>
        <w:t>Team</w:t>
      </w:r>
      <w:r w:rsidR="00A2369F" w:rsidRPr="00AF3CD0">
        <w:rPr>
          <w:u w:val="single"/>
        </w:rPr>
        <w:t xml:space="preserve"> (CE</w:t>
      </w:r>
      <w:r w:rsidR="00F10166">
        <w:rPr>
          <w:u w:val="single"/>
        </w:rPr>
        <w:t>T</w:t>
      </w:r>
      <w:r w:rsidR="00FE60BA" w:rsidRPr="00AF3CD0">
        <w:rPr>
          <w:u w:val="single"/>
        </w:rPr>
        <w:t>)</w:t>
      </w:r>
    </w:p>
    <w:p w:rsidR="00AA483C" w:rsidRDefault="00A2369F" w:rsidP="00AA483C">
      <w:pPr>
        <w:spacing w:after="0" w:line="240" w:lineRule="auto"/>
        <w:ind w:left="709"/>
        <w:jc w:val="both"/>
        <w:rPr>
          <w:rFonts w:cstheme="minorHAnsi"/>
        </w:rPr>
      </w:pPr>
      <w:r>
        <w:rPr>
          <w:rFonts w:ascii="Calibri" w:eastAsia="Calibri" w:hAnsi="Calibri" w:cs="Calibri"/>
          <w:color w:val="000000"/>
          <w:lang w:eastAsia="en-US"/>
        </w:rPr>
        <w:t>The CE</w:t>
      </w:r>
      <w:r w:rsidR="00F10166">
        <w:rPr>
          <w:rFonts w:ascii="Calibri" w:eastAsia="Calibri" w:hAnsi="Calibri" w:cs="Calibri"/>
          <w:color w:val="000000"/>
          <w:lang w:eastAsia="en-US"/>
        </w:rPr>
        <w:t>T</w:t>
      </w:r>
      <w:r w:rsidR="00FE60BA">
        <w:rPr>
          <w:rFonts w:ascii="Calibri" w:eastAsia="Calibri" w:hAnsi="Calibri" w:cs="Calibri"/>
          <w:color w:val="000000"/>
          <w:lang w:eastAsia="en-US"/>
        </w:rPr>
        <w:t xml:space="preserve"> provides</w:t>
      </w:r>
      <w:r w:rsidR="00FE60BA" w:rsidRPr="007D4086">
        <w:rPr>
          <w:rFonts w:ascii="Calibri" w:eastAsia="Calibri" w:hAnsi="Calibri" w:cs="Calibri"/>
          <w:color w:val="000000"/>
          <w:lang w:eastAsia="en-US"/>
        </w:rPr>
        <w:t xml:space="preserve"> an opportunity </w:t>
      </w:r>
      <w:r w:rsidR="00FE60BA">
        <w:rPr>
          <w:rFonts w:ascii="Calibri" w:eastAsia="Calibri" w:hAnsi="Calibri" w:cs="Calibri"/>
          <w:color w:val="000000"/>
          <w:lang w:eastAsia="en-US"/>
        </w:rPr>
        <w:t>to focus on</w:t>
      </w:r>
      <w:r w:rsidR="00FE60BA" w:rsidRPr="007D4086">
        <w:rPr>
          <w:rFonts w:ascii="Calibri" w:eastAsia="Calibri" w:hAnsi="Calibri" w:cs="Calibri"/>
          <w:color w:val="000000"/>
          <w:lang w:eastAsia="en-US"/>
        </w:rPr>
        <w:t xml:space="preserve"> the engagement of both students and staff </w:t>
      </w:r>
      <w:r w:rsidR="00FE60BA">
        <w:rPr>
          <w:rFonts w:ascii="Calibri" w:eastAsia="Calibri" w:hAnsi="Calibri" w:cs="Calibri"/>
          <w:color w:val="000000"/>
          <w:lang w:eastAsia="en-US"/>
        </w:rPr>
        <w:t xml:space="preserve">in the development </w:t>
      </w:r>
      <w:r w:rsidR="00FE60BA" w:rsidRPr="007D4086">
        <w:rPr>
          <w:rFonts w:ascii="Calibri" w:eastAsia="Calibri" w:hAnsi="Calibri" w:cs="Calibri"/>
          <w:color w:val="000000"/>
          <w:lang w:eastAsia="en-US"/>
        </w:rPr>
        <w:t>of a culture across each College of a learning environment that facilitates empowerment, engagement and independent learning potential and capability</w:t>
      </w:r>
      <w:r w:rsidR="00FE60BA">
        <w:rPr>
          <w:rFonts w:ascii="Calibri" w:eastAsia="Calibri" w:hAnsi="Calibri" w:cs="Calibri"/>
          <w:color w:val="000000"/>
          <w:lang w:eastAsia="en-US"/>
        </w:rPr>
        <w:t xml:space="preserve"> (see NPR QS6)</w:t>
      </w:r>
    </w:p>
    <w:p w:rsidR="00FE60BA" w:rsidRDefault="00FE60BA" w:rsidP="00AA483C">
      <w:pPr>
        <w:spacing w:after="0" w:line="240" w:lineRule="auto"/>
        <w:ind w:left="709"/>
        <w:jc w:val="both"/>
      </w:pPr>
    </w:p>
    <w:p w:rsidR="00AA483C" w:rsidRDefault="00AA483C" w:rsidP="00AA483C">
      <w:pPr>
        <w:spacing w:after="0" w:line="240" w:lineRule="auto"/>
        <w:ind w:left="709" w:hanging="709"/>
        <w:jc w:val="both"/>
      </w:pPr>
      <w:r>
        <w:t>4.1.4</w:t>
      </w:r>
      <w:r>
        <w:tab/>
      </w:r>
      <w:r w:rsidRPr="00AF3CD0">
        <w:rPr>
          <w:u w:val="single"/>
        </w:rPr>
        <w:t>Student Forum</w:t>
      </w:r>
    </w:p>
    <w:p w:rsidR="00AA483C" w:rsidRPr="00A2369F" w:rsidRDefault="00B74CDE" w:rsidP="00AA483C">
      <w:pPr>
        <w:spacing w:after="0" w:line="240" w:lineRule="auto"/>
        <w:ind w:left="709" w:hanging="709"/>
        <w:jc w:val="both"/>
      </w:pPr>
      <w:r>
        <w:tab/>
      </w:r>
      <w:r w:rsidR="00F10166">
        <w:t>The Student Forum (sometimes called Council) is the ‘student voice’ in each College. It is a body elected by students in each College to act as a forum whereby students meet to discuss issues that impact (negatively and positively) their learning experience. Areas addressed by the members of the student forum include extra curricula activities; the learning environment; student support services; integration with the wider university community; safety and security; delivery mechanisms; assessment and feedback mechanisms. Membership of the Forum is made up of elected student representatives from each programme of study; one academic staff member (by invitation) one student services staff member.</w:t>
      </w:r>
      <w:r w:rsidR="00A2369F">
        <w:t xml:space="preserve">  See NPR QS8</w:t>
      </w:r>
    </w:p>
    <w:p w:rsidR="00A2369F" w:rsidRDefault="00A2369F" w:rsidP="00AA483C">
      <w:pPr>
        <w:spacing w:after="0" w:line="240" w:lineRule="auto"/>
        <w:ind w:left="709" w:hanging="709"/>
        <w:jc w:val="both"/>
      </w:pPr>
    </w:p>
    <w:p w:rsidR="00AA483C" w:rsidRDefault="00AA483C" w:rsidP="00AA483C">
      <w:pPr>
        <w:spacing w:after="0" w:line="240" w:lineRule="auto"/>
        <w:ind w:left="709" w:hanging="709"/>
        <w:jc w:val="both"/>
      </w:pPr>
      <w:r>
        <w:t>4.1.5</w:t>
      </w:r>
      <w:r>
        <w:tab/>
      </w:r>
      <w:r w:rsidRPr="00AF3CD0">
        <w:rPr>
          <w:u w:val="single"/>
        </w:rPr>
        <w:t xml:space="preserve">Academic and </w:t>
      </w:r>
      <w:r w:rsidR="00F10166">
        <w:rPr>
          <w:u w:val="single"/>
        </w:rPr>
        <w:t xml:space="preserve">Student </w:t>
      </w:r>
      <w:r w:rsidRPr="00AF3CD0">
        <w:rPr>
          <w:u w:val="single"/>
        </w:rPr>
        <w:t xml:space="preserve"> Services</w:t>
      </w:r>
    </w:p>
    <w:p w:rsidR="00AA483C" w:rsidRPr="00A2369F" w:rsidRDefault="00B74CDE" w:rsidP="00AA483C">
      <w:pPr>
        <w:spacing w:after="0" w:line="240" w:lineRule="auto"/>
        <w:ind w:left="709" w:hanging="709"/>
        <w:jc w:val="both"/>
      </w:pPr>
      <w:r>
        <w:tab/>
      </w:r>
      <w:r w:rsidR="00F10166">
        <w:t>The Academic and Student Services function in each College is intended to provide students with support</w:t>
      </w:r>
      <w:r w:rsidR="00C70EDD">
        <w:t xml:space="preserve"> and guidance</w:t>
      </w:r>
      <w:r w:rsidR="00F10166">
        <w:t xml:space="preserve"> relating to their </w:t>
      </w:r>
      <w:r w:rsidR="00C70EDD">
        <w:t xml:space="preserve">enrolment; registration; </w:t>
      </w:r>
      <w:r w:rsidR="00F10166">
        <w:t>academic programme and progress</w:t>
      </w:r>
      <w:r w:rsidR="00C70EDD">
        <w:t>ion</w:t>
      </w:r>
      <w:r w:rsidR="00F10166">
        <w:t xml:space="preserve">; personal welfare </w:t>
      </w:r>
      <w:r w:rsidR="00F10166">
        <w:lastRenderedPageBreak/>
        <w:t>advice and guidance; progression to the University partner; provision of a 24 x 7 emergency service hotline</w:t>
      </w:r>
      <w:r w:rsidR="00C70EDD">
        <w:t>; living in the UK; safety and security; accommodation; grievances and appeals.</w:t>
      </w:r>
      <w:r w:rsidR="00A2369F">
        <w:t xml:space="preserve">  See NPR QS7</w:t>
      </w:r>
    </w:p>
    <w:p w:rsidR="00B74CDE" w:rsidRDefault="00B74CDE" w:rsidP="004B5830">
      <w:pPr>
        <w:spacing w:after="0" w:line="240" w:lineRule="auto"/>
        <w:ind w:left="720" w:hanging="720"/>
        <w:jc w:val="both"/>
      </w:pPr>
    </w:p>
    <w:p w:rsidR="00DE5939" w:rsidRPr="00B74CDE" w:rsidRDefault="004B5830" w:rsidP="004B5830">
      <w:pPr>
        <w:spacing w:after="0" w:line="240" w:lineRule="auto"/>
        <w:ind w:left="720" w:hanging="720"/>
        <w:jc w:val="both"/>
        <w:rPr>
          <w:b/>
        </w:rPr>
      </w:pPr>
      <w:r w:rsidRPr="00B74CDE">
        <w:rPr>
          <w:b/>
        </w:rPr>
        <w:t>4.2</w:t>
      </w:r>
      <w:r w:rsidRPr="00B74CDE">
        <w:rPr>
          <w:b/>
        </w:rPr>
        <w:tab/>
      </w:r>
      <w:r w:rsidR="00A2369F">
        <w:rPr>
          <w:b/>
        </w:rPr>
        <w:t>The Role of the College Director/Principal (CDP)</w:t>
      </w:r>
    </w:p>
    <w:p w:rsidR="00DE5939" w:rsidRDefault="00DE5939" w:rsidP="00DE5939">
      <w:pPr>
        <w:spacing w:after="0" w:line="240" w:lineRule="auto"/>
        <w:ind w:left="720"/>
        <w:jc w:val="both"/>
      </w:pPr>
    </w:p>
    <w:p w:rsidR="00DE5939" w:rsidRDefault="00DE5939" w:rsidP="00DE5939">
      <w:pPr>
        <w:spacing w:after="0" w:line="240" w:lineRule="auto"/>
        <w:ind w:left="720" w:hanging="720"/>
        <w:jc w:val="both"/>
      </w:pPr>
      <w:r>
        <w:t>4.2.1</w:t>
      </w:r>
      <w:r>
        <w:tab/>
      </w:r>
      <w:r w:rsidR="00A2369F">
        <w:t xml:space="preserve">The </w:t>
      </w:r>
      <w:r>
        <w:t xml:space="preserve">CDP is responsible for quality assurance in the College, and accountable to the </w:t>
      </w:r>
      <w:r w:rsidR="00C70EDD">
        <w:t xml:space="preserve">Executive </w:t>
      </w:r>
      <w:r>
        <w:t>General Manager University Programme Division UK.  The CDP is also a member of the NSMT</w:t>
      </w:r>
      <w:r w:rsidR="004B5830">
        <w:t xml:space="preserve"> and the </w:t>
      </w:r>
      <w:r>
        <w:t>LTC and through these bodies is able to contribute to the development and sharing of good practices in quality management and in learning and teaching within his/her College</w:t>
      </w:r>
      <w:r w:rsidR="004B5830">
        <w:t xml:space="preserve">. </w:t>
      </w:r>
      <w:r>
        <w:t xml:space="preserve"> </w:t>
      </w:r>
    </w:p>
    <w:p w:rsidR="00DE5939" w:rsidRDefault="00DE5939" w:rsidP="00DE5939">
      <w:pPr>
        <w:spacing w:after="0" w:line="240" w:lineRule="auto"/>
        <w:ind w:left="720"/>
        <w:jc w:val="both"/>
      </w:pPr>
    </w:p>
    <w:p w:rsidR="004B5830" w:rsidRDefault="00DE5939" w:rsidP="00DE5939">
      <w:pPr>
        <w:spacing w:after="0" w:line="240" w:lineRule="auto"/>
        <w:ind w:left="720" w:hanging="720"/>
        <w:jc w:val="both"/>
      </w:pPr>
      <w:r>
        <w:t>4.2.2</w:t>
      </w:r>
      <w:r>
        <w:tab/>
      </w:r>
      <w:r w:rsidR="004B5830">
        <w:t xml:space="preserve">The </w:t>
      </w:r>
      <w:r>
        <w:t>CDP</w:t>
      </w:r>
      <w:r w:rsidR="004B5830">
        <w:t xml:space="preserve"> is Chair of the College Learning and Teaching Board </w:t>
      </w:r>
      <w:r>
        <w:t xml:space="preserve">(CLTB) through which he/she is able to manage directly the </w:t>
      </w:r>
      <w:r w:rsidR="00F02892">
        <w:t xml:space="preserve">College learning and teaching environment.  He/she </w:t>
      </w:r>
      <w:r w:rsidR="00A2369F">
        <w:t>also c</w:t>
      </w:r>
      <w:r>
        <w:t xml:space="preserve">hairs </w:t>
      </w:r>
      <w:r w:rsidR="004B5830">
        <w:t>the College Progression Board(s)</w:t>
      </w:r>
      <w:r w:rsidR="00F02892">
        <w:t>.</w:t>
      </w:r>
    </w:p>
    <w:p w:rsidR="004B5830" w:rsidRDefault="004B5830" w:rsidP="004B5830">
      <w:pPr>
        <w:spacing w:after="0" w:line="240" w:lineRule="auto"/>
        <w:jc w:val="both"/>
      </w:pPr>
    </w:p>
    <w:p w:rsidR="004B5830" w:rsidRDefault="00F02892" w:rsidP="004B5830">
      <w:pPr>
        <w:spacing w:after="0" w:line="240" w:lineRule="auto"/>
        <w:ind w:left="720" w:hanging="720"/>
        <w:jc w:val="both"/>
      </w:pPr>
      <w:r>
        <w:t>4.2.3</w:t>
      </w:r>
      <w:r>
        <w:tab/>
      </w:r>
      <w:r w:rsidR="004B5830">
        <w:t xml:space="preserve">The </w:t>
      </w:r>
      <w:r>
        <w:t>CDP</w:t>
      </w:r>
      <w:r w:rsidR="004B5830">
        <w:t xml:space="preserve"> </w:t>
      </w:r>
      <w:r>
        <w:t>is required</w:t>
      </w:r>
      <w:r w:rsidR="004B5830">
        <w:t xml:space="preserve"> to follow the </w:t>
      </w:r>
      <w:r>
        <w:t>procedures</w:t>
      </w:r>
      <w:r w:rsidR="004B5830">
        <w:t xml:space="preserve"> prescribed by </w:t>
      </w:r>
      <w:r>
        <w:t>QaSO</w:t>
      </w:r>
      <w:r w:rsidR="004B5830">
        <w:t xml:space="preserve"> and to report on teaching quality information in a timely and transparent manner to the </w:t>
      </w:r>
      <w:r>
        <w:t>NSMT</w:t>
      </w:r>
      <w:r w:rsidR="004B5830">
        <w:t xml:space="preserve">, the </w:t>
      </w:r>
      <w:r>
        <w:t>P</w:t>
      </w:r>
      <w:r w:rsidR="004B5830">
        <w:t>artner University</w:t>
      </w:r>
      <w:r>
        <w:t>,</w:t>
      </w:r>
      <w:r w:rsidR="004B5830">
        <w:t xml:space="preserve"> and external bodies</w:t>
      </w:r>
      <w:r>
        <w:t xml:space="preserve"> as necessary</w:t>
      </w:r>
      <w:r w:rsidR="004B5830">
        <w:t xml:space="preserve">. </w:t>
      </w:r>
    </w:p>
    <w:p w:rsidR="004B5830" w:rsidRDefault="004B5830" w:rsidP="00AA483C">
      <w:pPr>
        <w:spacing w:after="0" w:line="240" w:lineRule="auto"/>
        <w:ind w:left="709" w:hanging="709"/>
        <w:jc w:val="both"/>
      </w:pPr>
    </w:p>
    <w:p w:rsidR="00F02892" w:rsidRPr="00FE60BA" w:rsidRDefault="00F02892" w:rsidP="00AA483C">
      <w:pPr>
        <w:spacing w:after="0" w:line="240" w:lineRule="auto"/>
        <w:ind w:left="709" w:hanging="709"/>
        <w:jc w:val="both"/>
        <w:rPr>
          <w:b/>
        </w:rPr>
      </w:pPr>
      <w:r w:rsidRPr="00FE60BA">
        <w:rPr>
          <w:b/>
        </w:rPr>
        <w:t>4.3</w:t>
      </w:r>
      <w:r w:rsidRPr="00FE60BA">
        <w:rPr>
          <w:b/>
        </w:rPr>
        <w:tab/>
        <w:t>College Staff Structure</w:t>
      </w:r>
    </w:p>
    <w:p w:rsidR="00AA483C" w:rsidRDefault="00AA483C" w:rsidP="00AA483C">
      <w:pPr>
        <w:spacing w:after="0" w:line="240" w:lineRule="auto"/>
        <w:ind w:left="709" w:hanging="709"/>
        <w:jc w:val="both"/>
      </w:pPr>
    </w:p>
    <w:p w:rsidR="00F02892" w:rsidRDefault="0099774B" w:rsidP="00AA483C">
      <w:pPr>
        <w:spacing w:after="0" w:line="240" w:lineRule="auto"/>
        <w:ind w:left="709" w:hanging="709"/>
        <w:jc w:val="both"/>
      </w:pPr>
      <w:r>
        <w:t>4.3.1</w:t>
      </w:r>
      <w:r w:rsidR="00F02892">
        <w:tab/>
        <w:t xml:space="preserve">The </w:t>
      </w:r>
      <w:r w:rsidR="00E923EA">
        <w:t xml:space="preserve">generic </w:t>
      </w:r>
      <w:r w:rsidR="00F02892">
        <w:t xml:space="preserve">College staff structure is shown in Figure </w:t>
      </w:r>
      <w:r w:rsidR="00FE60BA">
        <w:t>4</w:t>
      </w:r>
      <w:r w:rsidR="0078476D">
        <w:t xml:space="preserve">.  </w:t>
      </w:r>
      <w:r w:rsidR="00E923EA">
        <w:t>Exact job titles and details of the College staff teams will be incorporated in College Staff Handbooks.</w:t>
      </w:r>
    </w:p>
    <w:p w:rsidR="00A2369F" w:rsidRDefault="00A2369F" w:rsidP="00AA483C">
      <w:pPr>
        <w:spacing w:after="0" w:line="240" w:lineRule="auto"/>
        <w:ind w:left="709" w:hanging="709"/>
        <w:jc w:val="both"/>
      </w:pPr>
    </w:p>
    <w:p w:rsidR="00A2369F" w:rsidRDefault="00A2369F" w:rsidP="00AA483C">
      <w:pPr>
        <w:spacing w:after="0" w:line="240" w:lineRule="auto"/>
        <w:ind w:left="709" w:hanging="709"/>
        <w:jc w:val="both"/>
      </w:pPr>
    </w:p>
    <w:p w:rsidR="00A2369F" w:rsidRDefault="00A2369F" w:rsidP="00AA483C">
      <w:pPr>
        <w:spacing w:after="0" w:line="240" w:lineRule="auto"/>
        <w:ind w:left="709" w:hanging="709"/>
        <w:jc w:val="both"/>
      </w:pPr>
    </w:p>
    <w:p w:rsidR="00F02892" w:rsidRDefault="00F02892" w:rsidP="00AA483C">
      <w:pPr>
        <w:spacing w:after="0" w:line="240" w:lineRule="auto"/>
        <w:ind w:left="709" w:hanging="709"/>
        <w:jc w:val="both"/>
      </w:pPr>
    </w:p>
    <w:tbl>
      <w:tblPr>
        <w:tblStyle w:val="TableGrid"/>
        <w:tblW w:w="0" w:type="auto"/>
        <w:tblInd w:w="709" w:type="dxa"/>
        <w:tblLook w:val="04A0" w:firstRow="1" w:lastRow="0" w:firstColumn="1" w:lastColumn="0" w:noHBand="0" w:noVBand="1"/>
      </w:tblPr>
      <w:tblGrid>
        <w:gridCol w:w="3213"/>
        <w:gridCol w:w="3287"/>
        <w:gridCol w:w="3200"/>
      </w:tblGrid>
      <w:tr w:rsidR="0078476D" w:rsidTr="0078476D">
        <w:tc>
          <w:tcPr>
            <w:tcW w:w="3213" w:type="dxa"/>
            <w:tcBorders>
              <w:top w:val="nil"/>
              <w:left w:val="nil"/>
              <w:bottom w:val="nil"/>
            </w:tcBorders>
          </w:tcPr>
          <w:p w:rsidR="00F02892" w:rsidRDefault="00F02892" w:rsidP="00AA483C">
            <w:pPr>
              <w:jc w:val="both"/>
            </w:pPr>
          </w:p>
        </w:tc>
        <w:tc>
          <w:tcPr>
            <w:tcW w:w="3287" w:type="dxa"/>
            <w:tcBorders>
              <w:bottom w:val="single" w:sz="4" w:space="0" w:color="auto"/>
            </w:tcBorders>
          </w:tcPr>
          <w:p w:rsidR="00F02892" w:rsidRDefault="00607191" w:rsidP="0078476D">
            <w:pPr>
              <w:jc w:val="center"/>
            </w:pPr>
            <w:r>
              <w:t>College Director/Principal</w:t>
            </w:r>
          </w:p>
        </w:tc>
        <w:tc>
          <w:tcPr>
            <w:tcW w:w="3200" w:type="dxa"/>
            <w:tcBorders>
              <w:top w:val="nil"/>
              <w:bottom w:val="nil"/>
              <w:right w:val="nil"/>
            </w:tcBorders>
          </w:tcPr>
          <w:p w:rsidR="00F02892" w:rsidRDefault="00F02892" w:rsidP="00AA483C">
            <w:pPr>
              <w:jc w:val="both"/>
            </w:pPr>
          </w:p>
        </w:tc>
      </w:tr>
    </w:tbl>
    <w:p w:rsidR="00F02892" w:rsidRDefault="00F76AD3" w:rsidP="00AA483C">
      <w:pPr>
        <w:spacing w:after="0" w:line="240" w:lineRule="auto"/>
        <w:ind w:left="709" w:hanging="709"/>
        <w:jc w:val="both"/>
      </w:pPr>
      <w:r>
        <w:rPr>
          <w:noProof/>
        </w:rPr>
        <mc:AlternateContent>
          <mc:Choice Requires="wps">
            <w:drawing>
              <wp:anchor distT="0" distB="0" distL="114299" distR="114299" simplePos="0" relativeHeight="251657728" behindDoc="0" locked="0" layoutInCell="1" allowOverlap="1">
                <wp:simplePos x="0" y="0"/>
                <wp:positionH relativeFrom="column">
                  <wp:posOffset>3493134</wp:posOffset>
                </wp:positionH>
                <wp:positionV relativeFrom="paragraph">
                  <wp:posOffset>1905</wp:posOffset>
                </wp:positionV>
                <wp:extent cx="0" cy="334645"/>
                <wp:effectExtent l="76200" t="0" r="76200" b="6540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line">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A1653FC" id="Straight Connector 14"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75.05pt,.15pt" to="275.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BH1wEAAAkEAAAOAAAAZHJzL2Uyb0RvYy54bWysU9uO0zAQfUfiHyy/06S7ZYWipvvQBV5W&#10;UFH4AK8zbix8kz00yd8zdtpwlRCIl1E8M+fMzJnJ9n60hp0hJu1dy9ermjNw0nfanVr+6eObF684&#10;SyhcJ4x30PIJEr/fPX+2HUIDN773poPIiMSlZggt7xFDU1VJ9mBFWvkAjoLKRyuQnvFUdVEMxG5N&#10;dVPXd9XgYxeil5ASeR/mIN8VfqVA4nulEiAzLafesNhY7FO21W4rmlMUodfy0ob4hy6s0I6KLlQP&#10;AgX7EvUvVFbL6JNXuJLeVl4pLaHMQNOs65+mOfYiQJmFxElhkSn9P1r57nyITHe0uw1nTlja0RGj&#10;0Kce2d47Rwr6yChISg0hNQTYu0PMs8rRHcOjl58TxaofgvmRwpw2qmhzOg3LxqL8tCgPIzI5OyV5&#10;b283d5uXuVQlmisuxIRvwVuWP1putMuaiEacHxPOqdeU7DYuWxTavHYdwynQRBi1cCcDF+acUvqd&#10;WyzN4mRghn8ARYJQU+tSppwi7E1kZ0FHJKQEh+uFibIzTGljFmD9Z+AlP0OhnOnfgBdEqewdLmCr&#10;nY+/q47jtWU1518VmOfOEjz5bjrE6yrp3soWLv9GPujv3wX+7Q/efQUAAP//AwBQSwMEFAAGAAgA&#10;AAAhAAFxIJTaAAAABwEAAA8AAABkcnMvZG93bnJldi54bWxMjsFOwzAQRO9I/IO1lbhRO5QgFOJU&#10;FVJ7oKemfIATb5O08TqK3TT8PYs4wG1GM5p5+Xp2vZhwDJ0nDclSgUCqve2o0fB53D6+ggjRkDW9&#10;J9TwhQHWxf1dbjLrb3TAqYyN4BEKmdHQxjhkUoa6RWfC0g9InJ386ExkOzbSjubG466XT0q9SGc6&#10;4ofWDPjeYn0pr05DKfe75/iRDtXp7A/7XbndTOdE64fFvHkDEXGOf2X4wWd0KJip8leyQfQa0lQl&#10;XNWwAsHxr61YrBTIIpf/+YtvAAAA//8DAFBLAQItABQABgAIAAAAIQC2gziS/gAAAOEBAAATAAAA&#10;AAAAAAAAAAAAAAAAAABbQ29udGVudF9UeXBlc10ueG1sUEsBAi0AFAAGAAgAAAAhADj9If/WAAAA&#10;lAEAAAsAAAAAAAAAAAAAAAAALwEAAF9yZWxzLy5yZWxzUEsBAi0AFAAGAAgAAAAhADtSUEfXAQAA&#10;CQQAAA4AAAAAAAAAAAAAAAAALgIAAGRycy9lMm9Eb2MueG1sUEsBAi0AFAAGAAgAAAAhAAFxIJTa&#10;AAAABwEAAA8AAAAAAAAAAAAAAAAAMQQAAGRycy9kb3ducmV2LnhtbFBLBQYAAAAABAAEAPMAAAA4&#10;BQAAAAA=&#10;" strokecolor="#4579b8 [3044]">
                <v:stroke endarrow="block"/>
                <o:lock v:ext="edit" shapetype="f"/>
              </v:line>
            </w:pict>
          </mc:Fallback>
        </mc:AlternateContent>
      </w:r>
    </w:p>
    <w:p w:rsidR="00F02892" w:rsidRDefault="00F76AD3" w:rsidP="00AA483C">
      <w:pPr>
        <w:spacing w:after="0" w:line="240" w:lineRule="auto"/>
        <w:ind w:left="709" w:hanging="709"/>
        <w:jc w:val="both"/>
      </w:pPr>
      <w:r>
        <w:rPr>
          <w:noProof/>
        </w:rPr>
        <mc:AlternateContent>
          <mc:Choice Requires="wps">
            <w:drawing>
              <wp:anchor distT="0" distB="0" distL="114299" distR="114299" simplePos="0" relativeHeight="251660800" behindDoc="0" locked="0" layoutInCell="1" allowOverlap="1">
                <wp:simplePos x="0" y="0"/>
                <wp:positionH relativeFrom="column">
                  <wp:posOffset>5527674</wp:posOffset>
                </wp:positionH>
                <wp:positionV relativeFrom="paragraph">
                  <wp:posOffset>19050</wp:posOffset>
                </wp:positionV>
                <wp:extent cx="0" cy="149225"/>
                <wp:effectExtent l="76200" t="0" r="57150" b="6032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92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846AADE" id="_x0000_t32" coordsize="21600,21600" o:spt="32" o:oned="t" path="m,l21600,21600e" filled="f">
                <v:path arrowok="t" fillok="f" o:connecttype="none"/>
                <o:lock v:ext="edit" shapetype="t"/>
              </v:shapetype>
              <v:shape id="Straight Arrow Connector 60" o:spid="_x0000_s1026" type="#_x0000_t32" style="position:absolute;margin-left:435.25pt;margin-top:1.5pt;width:0;height:11.7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9wEAAOMDAAAOAAAAZHJzL2Uyb0RvYy54bWysU8GO2yAQvVfqPyDuje1os9pYcVZt0vSy&#10;bSOl+wETjG1UDGigcfL3HbCT7ra3VS8IZpg38x6P1eO51+wk0StrKl7Mcs6kEbZWpq3484/dhwfO&#10;fABTg7ZGVvwiPX9cv3+3Glwp57azupbICMT4cnAV70JwZZZ50cke/Mw6aSjZWOwh0BHbrEYYCL3X&#10;2TzP77PBYu3QCuk9Rbdjkq8TftNIEb43jZeB6YrTbCGtmNZjXLP1CsoWwXVKTGPAG6boQRlqeoPa&#10;QgD2C9U/UL0SaL1twkzYPrNNo4RMHIhNkf/F5tCBk4kLiePdTSb//2DFt9Memaorfk/yGOjpjQ4B&#10;QbVdYB8R7cA21hjS0SKjK6TX4HxJZRuzx8hYnM3BPVnx01Mue5WMB+/Ga+cG+3idKLNz0v9y01+e&#10;AxNjUFC0uFvO54vYKoPyWufQhy/S9ixuKu6nGW/DFUl+OD35MBZeC2JTY3dKa4pDqQ0bKr5cUAMm&#10;gBzXaAi07R1p4E3LGeiWrCwCJkRvtapjdSz22B43GtkJyE53u4fi03a81EEtx+hykeeTrTyEr7Ye&#10;w0V+jROnCSbxe4UfZ96C78aalBodGkDpz6Zm4eLogQIqMK2Wk0TaxNlkcvtE/4/ycXe09WWP1+ch&#10;J6XOk+ujVV+eaf/yb65/AwAA//8DAFBLAwQUAAYACAAAACEAGCwXhd4AAAAIAQAADwAAAGRycy9k&#10;b3ducmV2LnhtbEyPQUvDQBSE74L/YXmCl9BuWmktMZuiol4EwVjE3rbZZzZ0923Ibtv4733iQY/D&#10;DDPflOvRO3HEIXaBFMymOQikJpiOWgWbt8fJCkRMmox2gVDBF0ZYV+dnpS5MONErHuvUCi6hWGgF&#10;NqW+kDI2Fr2O09AjsfcZBq8Ty6GVZtAnLvdOzvN8Kb3uiBes7vHeYrOvD17Bx3aMd/Ty4My+7rPn&#10;2fY9s9mTUpcX4+0NiIRj+gvDDz6jQ8VMu3AgE4VTsLrOFxxVcMWX2P/VOwXz5QJkVcr/B6pvAAAA&#10;//8DAFBLAQItABQABgAIAAAAIQC2gziS/gAAAOEBAAATAAAAAAAAAAAAAAAAAAAAAABbQ29udGVu&#10;dF9UeXBlc10ueG1sUEsBAi0AFAAGAAgAAAAhADj9If/WAAAAlAEAAAsAAAAAAAAAAAAAAAAALwEA&#10;AF9yZWxzLy5yZWxzUEsBAi0AFAAGAAgAAAAhAOMtL9H3AQAA4wMAAA4AAAAAAAAAAAAAAAAALgIA&#10;AGRycy9lMm9Eb2MueG1sUEsBAi0AFAAGAAgAAAAhABgsF4XeAAAACAEAAA8AAAAAAAAAAAAAAAAA&#10;UQQAAGRycy9kb3ducmV2LnhtbFBLBQYAAAAABAAEAPMAAABcBQAAAAA=&#10;" strokecolor="#4a7ebb">
                <v:stroke endarrow="block"/>
                <o:lock v:ext="edit" shapetype="f"/>
              </v:shape>
            </w:pict>
          </mc:Fallback>
        </mc:AlternateContent>
      </w:r>
      <w:r>
        <w:rPr>
          <w:noProof/>
        </w:rPr>
        <mc:AlternateContent>
          <mc:Choice Requires="wps">
            <w:drawing>
              <wp:anchor distT="0" distB="0" distL="114299" distR="114299" simplePos="0" relativeHeight="251659776" behindDoc="0" locked="0" layoutInCell="1" allowOverlap="1">
                <wp:simplePos x="0" y="0"/>
                <wp:positionH relativeFrom="column">
                  <wp:posOffset>1335404</wp:posOffset>
                </wp:positionH>
                <wp:positionV relativeFrom="paragraph">
                  <wp:posOffset>15875</wp:posOffset>
                </wp:positionV>
                <wp:extent cx="0" cy="149225"/>
                <wp:effectExtent l="76200" t="0" r="57150" b="6032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9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2A812C" id="Straight Arrow Connector 59" o:spid="_x0000_s1026" type="#_x0000_t32" style="position:absolute;margin-left:105.15pt;margin-top:1.25pt;width:0;height:11.7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Gu3gEAAB0EAAAOAAAAZHJzL2Uyb0RvYy54bWysU9uO0zAQfUfiHyy/06QVi9io6Qp1gZcV&#10;VBQ+wOvYiYVvGg9N+veMnTZchQTiZRR75sycczzZ3k3OspOCZIJv+XpVc6a8DJ3xfcs/fXzz7CVn&#10;CYXvhA1etfysEr/bPX2yHWOjNmEItlPAqIlPzRhbPiDGpqqSHJQTaRWi8pTUAZxAOkJfdSBG6u5s&#10;tanrF9UYoIsQpEqJbu/nJN+V/lorie+1TgqZbTlxwxKhxMccq91WND2IOBh5oSH+gYUTxtPQpdW9&#10;QMG+gPmllTMSQgoaVzK4KmhtpCoaSM26/knNcRBRFS1kToqLTen/tZXvTgdgpmv5zS1nXjh6oyOC&#10;MP2A7BVAGNk+eE8+BmBUQn6NMTUE2/sDZMVy8sf4EOTnRLnqh2Q+pDiXTRpcLifJbCr+nxf/1YRM&#10;zpeSbtfPbzebmzyqEs0VFyHhWxUcyx8tTxeOC7l1sV+cHhLOwCsgD7U+RxTGvvYdw3MklQhG+N6q&#10;y5xcUtjPhAt1PFs1wz8oTSYRxXlMWU+1t8BOghZLSKk8rpdOVJ1h2li7AOvC74/AS32GqrK6fwNe&#10;EGVy8LiAnfEBfjcdpytlPddfHZh1ZwseQ3c+wPVhaQfLm1z+l7zk358L/NtfvfsKAAD//wMAUEsD&#10;BBQABgAIAAAAIQBFgPBh2gAAAAgBAAAPAAAAZHJzL2Rvd25yZXYueG1sTI/NTsMwEITvSLyDtUjc&#10;qN0EKpTGqcqf1CO0XHpz4yWJiNeR7bbm7VnEAW4zmtHst/Uqu1GcMMTBk4b5TIFAar0dqNPwvnu5&#10;uQcRkyFrRk+o4QsjrJrLi9pU1p/pDU/b1AkeoVgZDX1KUyVlbHt0Js78hMTZhw/OJLahkzaYM4+7&#10;URZKLaQzA/GF3kz42GP7uT06DQ+vG7d+2oeMZfl8G/POF9RutL6+yusliIQ5/ZXhB5/RoWGmgz+S&#10;jWLUUMxVyVUWdyA4//UHFgsFsqnl/weabwAAAP//AwBQSwECLQAUAAYACAAAACEAtoM4kv4AAADh&#10;AQAAEwAAAAAAAAAAAAAAAAAAAAAAW0NvbnRlbnRfVHlwZXNdLnhtbFBLAQItABQABgAIAAAAIQA4&#10;/SH/1gAAAJQBAAALAAAAAAAAAAAAAAAAAC8BAABfcmVscy8ucmVsc1BLAQItABQABgAIAAAAIQB2&#10;haGu3gEAAB0EAAAOAAAAAAAAAAAAAAAAAC4CAABkcnMvZTJvRG9jLnhtbFBLAQItABQABgAIAAAA&#10;IQBFgPBh2gAAAAgBAAAPAAAAAAAAAAAAAAAAADgEAABkcnMvZG93bnJldi54bWxQSwUGAAAAAAQA&#10;BADzAAAAPwUAAAAA&#10;" strokecolor="#4579b8 [3044]">
                <v:stroke endarrow="block"/>
                <o:lock v:ext="edit" shapetype="f"/>
              </v:shape>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1335405</wp:posOffset>
                </wp:positionH>
                <wp:positionV relativeFrom="paragraph">
                  <wp:posOffset>15874</wp:posOffset>
                </wp:positionV>
                <wp:extent cx="4195445" cy="0"/>
                <wp:effectExtent l="0" t="0" r="14605"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5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18B9D2" id="Straight Connector 5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15pt,1.25pt" to="43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o/xQEAAOEDAAAOAAAAZHJzL2Uyb0RvYy54bWysU02P0zAQvSPxHyzfaZJViyBquoeu4LKC&#10;isIP8DrjxsL2WLZp0n/P2G3Cp4RAXKzYM+/NvDeT7f1kDTtDiBpdx5tVzRk4ib12p45/+vjmxSvO&#10;YhKuFwYddPwCkd/vnj/bjr6FOxzQ9BAYkbjYjr7jQ0q+raooB7AirtCDo6DCYEWiazhVfRAjsVtT&#10;3dX1y2rE0PuAEmKk14drkO8Kv1Ig03ulIiRmOk69pXKGcj7ls9ptRXsKwg9a3toQ/9CFFdpR0YXq&#10;QSTBvgT9C5XVMmBElVYSbYVKaQlFA6lp6p/UHAfhoWghc6JfbIr/j1a+Ox8C033HNzQpJyzN6JiC&#10;0KchsT06Rw5iYBQkp0YfWwLs3SFkrXJyR/+I8nOkWPVDMF+iv6ZNKticTmLZVJy/LM7DlJikx3Xz&#10;erNebziTc6wS7Qz0Iaa3gJblj44b7bIpohXnx5hyadHOKbc+rqVLE+liICcb9wEUCaViTUGXFYO9&#10;CewsaDmElOBSk2USX8nOMKWNWYD1n4G3/AyFsn5/A14QpTK6tICtdhh+Vz1Nc8vqmj87cNWdLXjC&#10;/nII84hoj4rC287nRf3+XuDf/szdVwAAAP//AwBQSwMEFAAGAAgAAAAhAAmG5LveAAAABwEAAA8A&#10;AABkcnMvZG93bnJldi54bWxMj8FOwzAQRO9I/IO1SFxQ66QQGoU4FSBVPQBCNHyAGy9JRLyOYidN&#10;+XoWLnDb0Yxm3+Sb2XZiwsG3jhTEywgEUuVMS7WC93K7SEH4oMnozhEqOKGHTXF+luvMuCO94bQP&#10;teAS8plW0ITQZ1L6qkGr/dL1SOx9uMHqwHKopRn0kcttJ1dRdCutbok/NLrHxwarz/1oFey2D/iU&#10;nMb6xiS78moqn1++XlOlLi/m+zsQAefwF4YffEaHgpkObiTjRadgFUfXHOUjAcF+uo552+FXyyKX&#10;//mLbwAAAP//AwBQSwECLQAUAAYACAAAACEAtoM4kv4AAADhAQAAEwAAAAAAAAAAAAAAAAAAAAAA&#10;W0NvbnRlbnRfVHlwZXNdLnhtbFBLAQItABQABgAIAAAAIQA4/SH/1gAAAJQBAAALAAAAAAAAAAAA&#10;AAAAAC8BAABfcmVscy8ucmVsc1BLAQItABQABgAIAAAAIQAaCSo/xQEAAOEDAAAOAAAAAAAAAAAA&#10;AAAAAC4CAABkcnMvZTJvRG9jLnhtbFBLAQItABQABgAIAAAAIQAJhuS73gAAAAcBAAAPAAAAAAAA&#10;AAAAAAAAAB8EAABkcnMvZG93bnJldi54bWxQSwUGAAAAAAQABADzAAAAKgUAAAAA&#10;" strokecolor="#4579b8 [3044]">
                <o:lock v:ext="edit" shapetype="f"/>
              </v:line>
            </w:pict>
          </mc:Fallback>
        </mc:AlternateContent>
      </w:r>
    </w:p>
    <w:tbl>
      <w:tblPr>
        <w:tblStyle w:val="TableGrid"/>
        <w:tblW w:w="0" w:type="auto"/>
        <w:tblInd w:w="709" w:type="dxa"/>
        <w:tblLook w:val="04A0" w:firstRow="1" w:lastRow="0" w:firstColumn="1" w:lastColumn="0" w:noHBand="0" w:noVBand="1"/>
      </w:tblPr>
      <w:tblGrid>
        <w:gridCol w:w="2660"/>
        <w:gridCol w:w="553"/>
        <w:gridCol w:w="2849"/>
        <w:gridCol w:w="425"/>
        <w:gridCol w:w="3213"/>
      </w:tblGrid>
      <w:tr w:rsidR="00E923EA" w:rsidTr="00E923EA">
        <w:tc>
          <w:tcPr>
            <w:tcW w:w="2660" w:type="dxa"/>
            <w:tcBorders>
              <w:top w:val="single" w:sz="4" w:space="0" w:color="auto"/>
              <w:right w:val="single" w:sz="4" w:space="0" w:color="auto"/>
            </w:tcBorders>
          </w:tcPr>
          <w:p w:rsidR="00E923EA" w:rsidRDefault="00E923EA" w:rsidP="0078476D">
            <w:pPr>
              <w:jc w:val="center"/>
            </w:pPr>
            <w:r>
              <w:t>Director of Marketing</w:t>
            </w:r>
          </w:p>
        </w:tc>
        <w:tc>
          <w:tcPr>
            <w:tcW w:w="553" w:type="dxa"/>
            <w:tcBorders>
              <w:top w:val="nil"/>
              <w:left w:val="single" w:sz="4" w:space="0" w:color="auto"/>
              <w:bottom w:val="nil"/>
              <w:right w:val="single" w:sz="4" w:space="0" w:color="auto"/>
            </w:tcBorders>
          </w:tcPr>
          <w:p w:rsidR="00E923EA" w:rsidRDefault="00E923EA" w:rsidP="0078476D">
            <w:pPr>
              <w:jc w:val="center"/>
            </w:pPr>
          </w:p>
        </w:tc>
        <w:tc>
          <w:tcPr>
            <w:tcW w:w="2849" w:type="dxa"/>
            <w:tcBorders>
              <w:top w:val="single" w:sz="4" w:space="0" w:color="auto"/>
              <w:left w:val="single" w:sz="4" w:space="0" w:color="auto"/>
              <w:right w:val="single" w:sz="4" w:space="0" w:color="auto"/>
            </w:tcBorders>
          </w:tcPr>
          <w:p w:rsidR="00E923EA" w:rsidRDefault="00E923EA" w:rsidP="0078476D">
            <w:pPr>
              <w:jc w:val="center"/>
            </w:pPr>
            <w:r>
              <w:t>Senior Academic Manager</w:t>
            </w:r>
          </w:p>
        </w:tc>
        <w:tc>
          <w:tcPr>
            <w:tcW w:w="425" w:type="dxa"/>
            <w:tcBorders>
              <w:top w:val="nil"/>
              <w:left w:val="single" w:sz="4" w:space="0" w:color="auto"/>
              <w:bottom w:val="nil"/>
              <w:right w:val="single" w:sz="4" w:space="0" w:color="auto"/>
            </w:tcBorders>
          </w:tcPr>
          <w:p w:rsidR="00E923EA" w:rsidRDefault="00E923EA" w:rsidP="004A058C">
            <w:pPr>
              <w:jc w:val="both"/>
            </w:pPr>
          </w:p>
        </w:tc>
        <w:tc>
          <w:tcPr>
            <w:tcW w:w="3213" w:type="dxa"/>
            <w:tcBorders>
              <w:top w:val="single" w:sz="4" w:space="0" w:color="auto"/>
              <w:left w:val="single" w:sz="4" w:space="0" w:color="auto"/>
            </w:tcBorders>
          </w:tcPr>
          <w:p w:rsidR="00E923EA" w:rsidRDefault="00E923EA" w:rsidP="00C70EDD">
            <w:pPr>
              <w:jc w:val="both"/>
            </w:pPr>
            <w:r>
              <w:t>Senior S</w:t>
            </w:r>
            <w:r w:rsidR="00C70EDD">
              <w:t>tudent</w:t>
            </w:r>
            <w:r>
              <w:t xml:space="preserve"> Services Manager</w:t>
            </w:r>
          </w:p>
        </w:tc>
      </w:tr>
    </w:tbl>
    <w:p w:rsidR="00F02892" w:rsidRDefault="00F76AD3" w:rsidP="00AA483C">
      <w:pPr>
        <w:spacing w:after="0" w:line="240" w:lineRule="auto"/>
        <w:ind w:left="709" w:hanging="709"/>
        <w:jc w:val="both"/>
      </w:pPr>
      <w:r>
        <w:rPr>
          <w:noProof/>
        </w:rPr>
        <mc:AlternateContent>
          <mc:Choice Requires="wps">
            <w:drawing>
              <wp:anchor distT="0" distB="0" distL="114299" distR="114299" simplePos="0" relativeHeight="251666944" behindDoc="0" locked="0" layoutInCell="1" allowOverlap="1">
                <wp:simplePos x="0" y="0"/>
                <wp:positionH relativeFrom="column">
                  <wp:posOffset>3949699</wp:posOffset>
                </wp:positionH>
                <wp:positionV relativeFrom="paragraph">
                  <wp:posOffset>149225</wp:posOffset>
                </wp:positionV>
                <wp:extent cx="0" cy="196850"/>
                <wp:effectExtent l="76200" t="0" r="57150" b="5080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5F0498B" id="Straight Arrow Connector 66" o:spid="_x0000_s1026" type="#_x0000_t32" style="position:absolute;margin-left:311pt;margin-top:11.75pt;width:0;height:15.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kn+AEAAOMDAAAOAAAAZHJzL2Uyb0RvYy54bWysU8GO0zAQvSPxD5bvNElFq27UdAUt5bJA&#10;pcIHTB0nsXBsa2ya9u8ZO2l3F26IizWe8by8efOyfrz0mp0lemVNxYtZzpk0wtbKtBX/8X3/bsWZ&#10;D2Bq0NbIil+l54+bt2/Wgyvl3HZW1xIZgRhfDq7iXQiuzDIvOtmDn1knDRUbiz0EumKb1QgDofc6&#10;m+f5Mhss1g6tkN5TdjcW+SbhN40U4VvTeBmYrjhxC+nEdJ7imW3WULYIrlNiogH/wKIHZeijd6gd&#10;BGC/UP0F1SuB1tsmzITtM9s0Ssg0A01T5H9Mc+zAyTQLiePdXSb//2DF1/MBmaorvlxyZqCnHR0D&#10;gmq7wD4g2oFtrTGko0VGT0ivwfmS2rbmgHFicTFH92TFT0+17FUxXrwbn10a7ONzGpldkv7Xu/7y&#10;EpgYk4KyxcNytUiryaC89Tn04bO0PYtBxf3E8U6uSPLD+cmHyAPKW0P8qLF7pXXatTZsqPjDYr7g&#10;TAA5rtEQKOwdaeBNyxnolqwsAiZEb7WqY3fE8diethrZGchO7/er4uNufNRBLcfswyLPJ1t5CF9s&#10;PaaL/JYnahNMovkKP3Lege/GnlQaHRpA6U+mZuHqaEEBFZhWy1gjOG0iN5ncPo3/rHyMTra+HvC2&#10;HnJSaptcH6368k7xy39z8xsAAP//AwBQSwMEFAAGAAgAAAAhAElb8DPfAAAACQEAAA8AAABkcnMv&#10;ZG93bnJldi54bWxMj0FLw0AQhe+C/2EZwUtoN42mSMykqKgXoWAsYm/b7JiE7s6G7LaN/94VD3p8&#10;8x5vvleuJmvEkUbfO0ZYzFMQxI3TPbcIm7en2Q0IHxRrZRwTwhd5WFXnZ6UqtDvxKx3r0IpYwr5Q&#10;CF0IQyGlbzqyys/dQBy9TzdaFaIcW6lHdYrl1sgsTZfSqp7jh04N9NBRs68PFuFjO/l7Xj8ava+H&#10;5GWxfU+65Bnx8mK6uwURaAp/YfjBj+hQRaadO7D2wiAssyxuCQjZVQ4iBn4PO4T8OgdZlfL/guob&#10;AAD//wMAUEsBAi0AFAAGAAgAAAAhALaDOJL+AAAA4QEAABMAAAAAAAAAAAAAAAAAAAAAAFtDb250&#10;ZW50X1R5cGVzXS54bWxQSwECLQAUAAYACAAAACEAOP0h/9YAAACUAQAACwAAAAAAAAAAAAAAAAAv&#10;AQAAX3JlbHMvLnJlbHNQSwECLQAUAAYACAAAACEA05GpJ/gBAADjAwAADgAAAAAAAAAAAAAAAAAu&#10;AgAAZHJzL2Uyb0RvYy54bWxQSwECLQAUAAYACAAAACEASVvwM98AAAAJAQAADwAAAAAAAAAAAAAA&#10;AABSBAAAZHJzL2Rvd25yZXYueG1sUEsFBgAAAAAEAAQA8wAAAF4FAAAAAA==&#10;" strokecolor="#4a7ebb">
                <v:stroke endarrow="block"/>
                <o:lock v:ext="edit" shapetype="f"/>
              </v:shape>
            </w:pict>
          </mc:Fallback>
        </mc:AlternateContent>
      </w:r>
      <w:r>
        <w:rPr>
          <w:noProof/>
        </w:rPr>
        <mc:AlternateContent>
          <mc:Choice Requires="wps">
            <w:drawing>
              <wp:anchor distT="0" distB="0" distL="114299" distR="114299" simplePos="0" relativeHeight="251665920" behindDoc="0" locked="0" layoutInCell="1" allowOverlap="1">
                <wp:simplePos x="0" y="0"/>
                <wp:positionH relativeFrom="column">
                  <wp:posOffset>2955289</wp:posOffset>
                </wp:positionH>
                <wp:positionV relativeFrom="paragraph">
                  <wp:posOffset>152400</wp:posOffset>
                </wp:positionV>
                <wp:extent cx="0" cy="196850"/>
                <wp:effectExtent l="76200" t="0" r="57150" b="5080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CC6D94" id="Straight Arrow Connector 65" o:spid="_x0000_s1026" type="#_x0000_t32" style="position:absolute;margin-left:232.7pt;margin-top:12pt;width:0;height:15.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6AP4AEAAB0EAAAOAAAAZHJzL2Uyb0RvYy54bWysU9uO0zAQfUfiHyy/06QrbbVETVeoC7ys&#10;oKLwAV7HTix803ho0r9n7LThKiQQL6PYM2fmnOPJ9n5ylp0UJBN8y9ermjPlZeiM71v+6eObF3ec&#10;JRS+EzZ41fKzSvx+9/zZdoyNuglDsJ0CRk18asbY8gExNlWV5KCcSKsQlaekDuAE0hH6qgMxUndn&#10;q5u63lRjgC5CkColun2Yk3xX+mutJL7XOilktuXEDUuEEp9yrHZb0fQg4mDkhYb4BxZOGE9Dl1YP&#10;AgX7AuaXVs5ICCloXMngqqC1kapoIDXr+ic1x0FEVbSQOSkuNqX/11a+Ox2Ama7lm1vOvHD0RkcE&#10;YfoB2SuAMLJ98J58DMCohPwaY2oItvcHyIrl5I/xMcjPiXLVD8l8SHEumzS4XE6S2VT8Py/+qwmZ&#10;nC8l3a5fbu5uy9NUorniIiR8q4Jj+aPl6cJxIbcu9ovTY8LMQzRXQB5qfY4ojH3tO4bnSCoRjPC9&#10;VVkSleeSwn4mXKjj2aoZ/kFpMokozmPKeqq9BXYStFhCSuVxvXSi6gzTxtoFWBd+fwRe6jNUldX9&#10;G/CCKJODxwXsjA/wu+k4XSnruf7qwKw7W/AUuvMBrg9LO1i8uvwvecm/Pxf4t7969xUAAP//AwBQ&#10;SwMEFAAGAAgAAAAhAH2EkIrcAAAACQEAAA8AAABkcnMvZG93bnJldi54bWxMj01PwzAMhu9I/IfI&#10;SNxYStdOqGs6jS9pR9i4cMsar61onCrJtvDvMeLAjrYfvX7eepXsKE7ow+BIwf0sA4HUOjNQp+Bj&#10;93r3ACJETUaPjlDBNwZYNddXta6MO9M7nraxExxCodIK+hinSsrQ9mh1mLkJiW8H562OPPpOGq/P&#10;HG5HmWfZQlo9EH/o9YRPPbZf26NV8Pi2sevnT59wPn8pQtq5nNqNUrc3ab0EETHFfxh+9VkdGnba&#10;uyOZIEYFxaIsGFWQF9yJgb/FXkFZZiCbWl42aH4AAAD//wMAUEsBAi0AFAAGAAgAAAAhALaDOJL+&#10;AAAA4QEAABMAAAAAAAAAAAAAAAAAAAAAAFtDb250ZW50X1R5cGVzXS54bWxQSwECLQAUAAYACAAA&#10;ACEAOP0h/9YAAACUAQAACwAAAAAAAAAAAAAAAAAvAQAAX3JlbHMvLnJlbHNQSwECLQAUAAYACAAA&#10;ACEA+s+gD+ABAAAdBAAADgAAAAAAAAAAAAAAAAAuAgAAZHJzL2Uyb0RvYy54bWxQSwECLQAUAAYA&#10;CAAAACEAfYSQitwAAAAJAQAADwAAAAAAAAAAAAAAAAA6BAAAZHJzL2Rvd25yZXYueG1sUEsFBgAA&#10;AAAEAAQA8wAAAEMFAAAAAA==&#10;" strokecolor="#4579b8 [3044]">
                <v:stroke endarrow="block"/>
                <o:lock v:ext="edit" shapetype="f"/>
              </v:shape>
            </w:pict>
          </mc:Fallback>
        </mc:AlternateContent>
      </w:r>
      <w:r>
        <w:rPr>
          <w:noProof/>
        </w:rPr>
        <mc:AlternateContent>
          <mc:Choice Requires="wps">
            <w:drawing>
              <wp:anchor distT="0" distB="0" distL="114299" distR="114299" simplePos="0" relativeHeight="251664896" behindDoc="0" locked="0" layoutInCell="1" allowOverlap="1">
                <wp:simplePos x="0" y="0"/>
                <wp:positionH relativeFrom="column">
                  <wp:posOffset>3493134</wp:posOffset>
                </wp:positionH>
                <wp:positionV relativeFrom="paragraph">
                  <wp:posOffset>-2540</wp:posOffset>
                </wp:positionV>
                <wp:extent cx="0" cy="155575"/>
                <wp:effectExtent l="0" t="0" r="19050" b="1587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5575"/>
                        </a:xfrm>
                        <a:prstGeom prst="straightConnector1">
                          <a:avLst/>
                        </a:prstGeom>
                        <a:ln>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B85D08A" id="Straight Arrow Connector 64" o:spid="_x0000_s1026" type="#_x0000_t32" style="position:absolute;margin-left:275.05pt;margin-top:-.2pt;width:0;height:12.2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mH3AEAABkEAAAOAAAAZHJzL2Uyb0RvYy54bWysU9uO0zAQfUfiHyy/06QruqCo6Qp1gZcV&#10;VBQ+wOvYjYXtscamSf6esdOGq5BAvIxiz5yZc44n27vRWXZWGA34lq9XNWfKS+iMP7X808c3z15y&#10;FpPwnbDgVcsnFfnd7umT7RAadQM92E4hoyY+NkNoeZ9SaKoqyl45EVcQlKekBnQi0RFPVYdioO7O&#10;Vjd1fVsNgF1AkCpGur2fk3xX+mutZHqvdVSJ2ZYTt1QilviYY7XbiuaEIvRGXmiIf2DhhPE0dGl1&#10;L5JgX9D80soZiRBBp5UEV4HWRqqigdSs65/UHHsRVNFC5sSw2BT/X1v57nxAZrqW3z7nzAtHb3RM&#10;KMypT+wVIgxsD96Tj4CMSsivIcSGYHt/wKxYjv4YHkB+jpSrfkjmQwxz2ajR5XKSzMbi/7T4r8bE&#10;5Hwp6Xa92WxebPKoSjRXXMCY3ipwLH+0PF44LuTWxX5xfohpBl4Beaj1OSZh7GvfsTQFUulpHy8z&#10;crown8kW2mmyaoZ+UJoMInrziLKaam+RnQUtlZBS+bReOlF1hmlj7QKsC7c/Ai/1GarK2v4NeEGU&#10;yeDTAnbGA/5uehqvlPVcf3Vg1p0teIRuOuD1UWn/yntc/pW84N+fC/zbH737CgAA//8DAFBLAwQU&#10;AAYACAAAACEAwiLANd4AAAAIAQAADwAAAGRycy9kb3ducmV2LnhtbEyPT0/CQBTE7yZ+h80z8Qbb&#10;EjCm9JUQ45+LHkCFeHu0j7Zx923TXaB8e9dw0ONkJjO/yReDNerIvW+dIKTjBBRL6apWaoSP96fR&#10;PSgfSCoyThjhzB4WxfVVTlnlTrLi4zrUKpaIzwihCaHLtPZlw5b82HUs0du73lKIsq911dMplluj&#10;J0lypy21Ehca6vih4fJ7fbAIy+4xNfvPLznrty29vG6eQ7naIN7eDMs5qMBD+AvDL35EhyIy7dxB&#10;Kq8MwmyWpDGKMJqCiv5F7xAm0xR0kev/B4ofAAAA//8DAFBLAQItABQABgAIAAAAIQC2gziS/gAA&#10;AOEBAAATAAAAAAAAAAAAAAAAAAAAAABbQ29udGVudF9UeXBlc10ueG1sUEsBAi0AFAAGAAgAAAAh&#10;ADj9If/WAAAAlAEAAAsAAAAAAAAAAAAAAAAALwEAAF9yZWxzLy5yZWxzUEsBAi0AFAAGAAgAAAAh&#10;AB30CYfcAQAAGQQAAA4AAAAAAAAAAAAAAAAALgIAAGRycy9lMm9Eb2MueG1sUEsBAi0AFAAGAAgA&#10;AAAhAMIiwDXeAAAACAEAAA8AAAAAAAAAAAAAAAAANgQAAGRycy9kb3ducmV2LnhtbFBLBQYAAAAA&#10;BAAEAPMAAABBBQAAAAA=&#10;" strokecolor="#4579b8 [3044]">
                <o:lock v:ext="edit" shapetype="f"/>
              </v:shape>
            </w:pict>
          </mc:Fallback>
        </mc:AlternateContent>
      </w:r>
      <w:r>
        <w:rPr>
          <w:noProof/>
        </w:rPr>
        <mc:AlternateContent>
          <mc:Choice Requires="wps">
            <w:drawing>
              <wp:anchor distT="0" distB="0" distL="114299" distR="114299" simplePos="0" relativeHeight="251663872" behindDoc="0" locked="0" layoutInCell="1" allowOverlap="1">
                <wp:simplePos x="0" y="0"/>
                <wp:positionH relativeFrom="column">
                  <wp:posOffset>5527674</wp:posOffset>
                </wp:positionH>
                <wp:positionV relativeFrom="paragraph">
                  <wp:posOffset>-5715</wp:posOffset>
                </wp:positionV>
                <wp:extent cx="0" cy="352425"/>
                <wp:effectExtent l="76200" t="0" r="76200" b="4762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7ABDEAB" id="Straight Arrow Connector 63" o:spid="_x0000_s1026" type="#_x0000_t32" style="position:absolute;margin-left:435.25pt;margin-top:-.45pt;width:0;height:27.7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N+AEAAOMDAAAOAAAAZHJzL2Uyb0RvYy54bWysU8GO0zAQvSPxD5bvNGl3u9qNmq6gZbks&#10;UKnwAVPbSSwc2xqbpv17xk5aduGGuFj2jOfNvOfn1eOpN+yoMGhnaz6flZwpK5zUtq35929P7+45&#10;CxGsBOOsqvlZBf64fvtmNfhKLVznjFTICMSGavA172L0VVEE0akewsx5ZSnZOOwh0hHbQiIMhN6b&#10;YlGWd8XgUHp0QoVA0e2Y5OuM3zRKxK9NE1RkpuY0W8wr5vWQ1mK9gqpF8J0W0xjwD1P0oC01vUJt&#10;IQL7ifovqF4LdME1cSZcX7im0UJlDsRmXv7BZt+BV5kLiRP8Vabw/2DFl+MOmZY1v7vhzEJPb7SP&#10;CLrtInuP6Aa2cdaSjg4ZXSG9Bh8qKtvYHSbG4mT3/tmJH4FyxatkOgQ/Xjs12KfrRJmdsv7nq/7q&#10;FJkYg4KiN8vF7WKZWhVQXeo8hvhJuZ6lTc3DNON1uHmWH47PIY6Fl4LU1LonbQzFoTKWDTV/WFID&#10;JoAc1xiItO09aRBsyxmYlqwsImbE4IyWqToVB2wPG4PsCGSn26f7+YfteKkDqcbow7IsJ1sFiJ+d&#10;HMPz8hInThNM5vcKP828hdCNNTk1OjSCNh+tZPHs6YEiarCtUZNExqbZVHb7RP+38ml3cPK8w8vz&#10;kJNy58n1yaovz7R/+TfXvwAAAP//AwBQSwMEFAAGAAgAAAAhAN2w4GreAAAACAEAAA8AAABkcnMv&#10;ZG93bnJldi54bWxMj0FLw0AUhO+C/2F5gpfQbiq21piXoqJeCoJRxN622Wc2dPdtyG7b+O9d8aDH&#10;YYaZb8rV6Kw40BA6zwizaQ6CuPG64xbh7fVxsgQRomKtrGdC+KIAq+r0pFSF9kd+oUMdW5FKOBQK&#10;wcTYF1KGxpBTYep74uR9+sGpmOTQSj2oYyp3Vl7k+UI61XFaMKqne0PNrt47hI/NGO74+cHqXd1n&#10;69nmPTPZE+L52Xh7AyLSGP/C8IOf0KFKTFu/Zx2ERVhe5fMURZhcg0j+r94izC8XIKtS/j9QfQMA&#10;AP//AwBQSwECLQAUAAYACAAAACEAtoM4kv4AAADhAQAAEwAAAAAAAAAAAAAAAAAAAAAAW0NvbnRl&#10;bnRfVHlwZXNdLnhtbFBLAQItABQABgAIAAAAIQA4/SH/1gAAAJQBAAALAAAAAAAAAAAAAAAAAC8B&#10;AABfcmVscy8ucmVsc1BLAQItABQABgAIAAAAIQAcSB/N+AEAAOMDAAAOAAAAAAAAAAAAAAAAAC4C&#10;AABkcnMvZTJvRG9jLnhtbFBLAQItABQABgAIAAAAIQDdsOBq3gAAAAgBAAAPAAAAAAAAAAAAAAAA&#10;AFIEAABkcnMvZG93bnJldi54bWxQSwUGAAAAAAQABADzAAAAXQUAAAAA&#10;" strokecolor="#4a7ebb">
                <v:stroke endarrow="block"/>
                <o:lock v:ext="edit" shapetype="f"/>
              </v:shape>
            </w:pict>
          </mc:Fallback>
        </mc:AlternateContent>
      </w:r>
      <w:r>
        <w:rPr>
          <w:noProof/>
        </w:rPr>
        <mc:AlternateContent>
          <mc:Choice Requires="wps">
            <w:drawing>
              <wp:anchor distT="0" distB="0" distL="114299" distR="114299" simplePos="0" relativeHeight="251662848" behindDoc="0" locked="0" layoutInCell="1" allowOverlap="1">
                <wp:simplePos x="0" y="0"/>
                <wp:positionH relativeFrom="column">
                  <wp:posOffset>1335404</wp:posOffset>
                </wp:positionH>
                <wp:positionV relativeFrom="paragraph">
                  <wp:posOffset>-2540</wp:posOffset>
                </wp:positionV>
                <wp:extent cx="0" cy="352425"/>
                <wp:effectExtent l="76200" t="0" r="76200" b="4762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FC41D5" id="Straight Arrow Connector 62" o:spid="_x0000_s1026" type="#_x0000_t32" style="position:absolute;margin-left:105.15pt;margin-top:-.2pt;width:0;height:27.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Km3wEAAB0EAAAOAAAAZHJzL2Uyb0RvYy54bWysU9uO0zAQfUfiHyy/06SBXaGo6Qp1gZcV&#10;VBQ+wOvYjYXtscamSf+esdOGq5BAvIxiz5yZc44nm7vJWXZSGA34jq9XNWfKS+iNP3b808c3z15y&#10;FpPwvbDgVcfPKvK77dMnmzG0qoEBbK+QURMf2zF0fEgptFUV5aCciCsIylNSAzqR6IjHqkcxUndn&#10;q6aub6sRsA8IUsVIt/dzkm9Lf62VTO+1jiox23HilkrEEh9zrLYb0R5RhMHICw3xDyycMJ6GLq3u&#10;RRLsC5pfWjkjESLotJLgKtDaSFU0kJp1/ZOawyCCKlrInBgWm+L/ayvfnfbITN/x24YzLxy90SGh&#10;MMchsVeIMLIdeE8+AjIqIb/GEFuC7fwes2I5+UN4APk5Uq76IZkPMcxlk0aXy0kym4r/58V/NSUm&#10;50tJt89vmhfNTR5VifaKCxjTWwWO5Y+OxwvHhdy62C9ODzHNwCsgD7U+xySMfe17ls6BVCY0wh+t&#10;uszJJYX9TLhQT2erZvgHpckkojiPKeupdhbZSdBiCSmVT+ulE1VnmDbWLsC68Psj8FKfoaqs7t+A&#10;F0SZDD4tYGc84O+mp+lKWc/1Vwdm3dmCR+jPe7w+LO1geZPL/5KX/PtzgX/7q7dfAQAA//8DAFBL&#10;AwQUAAYACAAAACEABoeEb9sAAAAIAQAADwAAAGRycy9kb3ducmV2LnhtbEyPS0/DMBCE70j8B2uR&#10;uLXOo0UozaYqL6lHaLn05sZLEhGvI9ttzb/HiAMcRzOa+aZeRzOKMzk/WEbI5xkI4tbqgTuE9/3L&#10;7B6ED4q1Gi0Twhd5WDfXV7WqtL3wG513oROphH2lEPoQpkpK3/ZklJ/biTh5H9YZFZJ0ndROXVK5&#10;GWWRZXfSqIHTQq8meuyp/dydDMLD69Zsng4uUlk+L3zc24LbLeLtTdysQASK4S8MP/gJHZrEdLQn&#10;1l6MCEWelSmKMFuASP6vPiIslznIppb/DzTfAAAA//8DAFBLAQItABQABgAIAAAAIQC2gziS/gAA&#10;AOEBAAATAAAAAAAAAAAAAAAAAAAAAABbQ29udGVudF9UeXBlc10ueG1sUEsBAi0AFAAGAAgAAAAh&#10;ADj9If/WAAAAlAEAAAsAAAAAAAAAAAAAAAAALwEAAF9yZWxzLy5yZWxzUEsBAi0AFAAGAAgAAAAh&#10;AFmXgqbfAQAAHQQAAA4AAAAAAAAAAAAAAAAALgIAAGRycy9lMm9Eb2MueG1sUEsBAi0AFAAGAAgA&#10;AAAhAAaHhG/bAAAACAEAAA8AAAAAAAAAAAAAAAAAOQQAAGRycy9kb3ducmV2LnhtbFBLBQYAAAAA&#10;BAAEAPMAAABBBQAAAAA=&#10;" strokecolor="#4579b8 [3044]">
                <v:stroke endarrow="block"/>
                <o:lock v:ext="edit" shapetype="f"/>
              </v:shape>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2955290</wp:posOffset>
                </wp:positionH>
                <wp:positionV relativeFrom="paragraph">
                  <wp:posOffset>152399</wp:posOffset>
                </wp:positionV>
                <wp:extent cx="1010285" cy="0"/>
                <wp:effectExtent l="0" t="0" r="18415"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0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8B1321" id="Straight Connector 61"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7pt,12pt" to="31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2hwQEAAOEDAAAOAAAAZHJzL2Uyb0RvYy54bWysU8uO2zAMvBfoPwi6N04CdLEw4uwhi/ay&#10;aIOm/QCuTMVC9QKlJs7fl1Ji9wkULXohLJEz5IzozcPorDghJRN8J1eLpRToVeiNP3by08c3r+6l&#10;SBl8DzZ47OQFk3zYvnyxOccW12EItkcSTOJTe46dHHKObdMkNaCDtAgRPSd1IAeZj3RseoIzszvb&#10;rJfLu+YcqI8UFKbEt4/XpNxWfq1R5fdaJ8zCdpJnyzVSjc8lNtsNtEeCOBh1GwP+YQoHxnPTmeoR&#10;MogvZH6hckZRSEHnhQquCVobhVUDq1ktf1JzGCBi1cLmpDjblP4frXp32pMwfSfvVlJ4cPxGh0xg&#10;jkMWu+A9OxhIcJKdOsfUMmDn91S0qtEf4lNQnxPnmh+S5ZDitWzU5Eo5ixVjdf4yO49jFoovVyx+&#10;ff9aCjXlGmgnYKSU32Jwonx00hpfTIEWTk8pl9bQTiW3Oa6t6xD5YrEUW/8BNQstzSq6rhjuLIkT&#10;8HKAUuhzlcl8tbrAtLF2Bi7/DLzVFyjW9fsb8IyonYPPM9gZH+h33fM4jayv9ZMDV93FgufQX/Y0&#10;PRHvUXXstvNlUb8/V/i3P3P7FQAA//8DAFBLAwQUAAYACAAAACEA3SST798AAAAJAQAADwAAAGRy&#10;cy9kb3ducmV2LnhtbEyPwU6DQBCG7ya+w2ZMvBi7SIA0yNKoSdODmsbiA2zZEYjsLGEXSn16x3jQ&#10;48x8+ef7i81iezHj6DtHCu5WEQik2pmOGgXv1fZ2DcIHTUb3jlDBGT1sysuLQufGnegN50NoBIeQ&#10;z7WCNoQhl9LXLVrtV25A4tuHG60OPI6NNKM+cbjtZRxFmbS6I/7Q6gGfWqw/D5NVsNs+4nN6nprE&#10;pLvqZq5eXr/2a6Wur5aHexABl/AHw48+q0PJTkc3kfGiV5BkacKogjjhTgxkcZKCOP4uZFnI/w3K&#10;bwAAAP//AwBQSwECLQAUAAYACAAAACEAtoM4kv4AAADhAQAAEwAAAAAAAAAAAAAAAAAAAAAAW0Nv&#10;bnRlbnRfVHlwZXNdLnhtbFBLAQItABQABgAIAAAAIQA4/SH/1gAAAJQBAAALAAAAAAAAAAAAAAAA&#10;AC8BAABfcmVscy8ucmVsc1BLAQItABQABgAIAAAAIQAkap2hwQEAAOEDAAAOAAAAAAAAAAAAAAAA&#10;AC4CAABkcnMvZTJvRG9jLnhtbFBLAQItABQABgAIAAAAIQDdJJPv3wAAAAkBAAAPAAAAAAAAAAAA&#10;AAAAABsEAABkcnMvZG93bnJldi54bWxQSwUGAAAAAAQABADzAAAAJwUAAAAA&#10;" strokecolor="#4579b8 [3044]">
                <o:lock v:ext="edit" shapetype="f"/>
              </v:line>
            </w:pict>
          </mc:Fallback>
        </mc:AlternateContent>
      </w:r>
    </w:p>
    <w:p w:rsidR="0078476D" w:rsidRDefault="0078476D" w:rsidP="00AA483C">
      <w:pPr>
        <w:spacing w:after="0" w:line="240" w:lineRule="auto"/>
        <w:ind w:left="709" w:hanging="709"/>
        <w:jc w:val="both"/>
      </w:pPr>
    </w:p>
    <w:tbl>
      <w:tblPr>
        <w:tblStyle w:val="TableGrid"/>
        <w:tblW w:w="0" w:type="auto"/>
        <w:tblInd w:w="709" w:type="dxa"/>
        <w:tblLook w:val="04A0" w:firstRow="1" w:lastRow="0" w:firstColumn="1" w:lastColumn="0" w:noHBand="0" w:noVBand="1"/>
      </w:tblPr>
      <w:tblGrid>
        <w:gridCol w:w="2583"/>
        <w:gridCol w:w="644"/>
        <w:gridCol w:w="1417"/>
        <w:gridCol w:w="284"/>
        <w:gridCol w:w="1417"/>
        <w:gridCol w:w="709"/>
        <w:gridCol w:w="2646"/>
      </w:tblGrid>
      <w:tr w:rsidR="00E923EA" w:rsidTr="00E923EA">
        <w:tc>
          <w:tcPr>
            <w:tcW w:w="2583" w:type="dxa"/>
            <w:tcBorders>
              <w:right w:val="single" w:sz="4" w:space="0" w:color="auto"/>
            </w:tcBorders>
          </w:tcPr>
          <w:p w:rsidR="00E923EA" w:rsidRDefault="00E923EA" w:rsidP="004A058C">
            <w:pPr>
              <w:jc w:val="center"/>
            </w:pPr>
            <w:r>
              <w:t xml:space="preserve">Marketing staff </w:t>
            </w:r>
          </w:p>
          <w:p w:rsidR="003B5782" w:rsidRDefault="003B5782" w:rsidP="004A058C">
            <w:pPr>
              <w:jc w:val="center"/>
            </w:pPr>
            <w:r>
              <w:t>Admission staff</w:t>
            </w:r>
          </w:p>
        </w:tc>
        <w:tc>
          <w:tcPr>
            <w:tcW w:w="644" w:type="dxa"/>
            <w:tcBorders>
              <w:top w:val="nil"/>
              <w:left w:val="single" w:sz="4" w:space="0" w:color="auto"/>
              <w:bottom w:val="nil"/>
              <w:right w:val="single" w:sz="4" w:space="0" w:color="auto"/>
            </w:tcBorders>
          </w:tcPr>
          <w:p w:rsidR="00E923EA" w:rsidRDefault="00E923EA" w:rsidP="004A058C">
            <w:pPr>
              <w:jc w:val="center"/>
            </w:pPr>
          </w:p>
        </w:tc>
        <w:tc>
          <w:tcPr>
            <w:tcW w:w="1417" w:type="dxa"/>
            <w:tcBorders>
              <w:left w:val="single" w:sz="4" w:space="0" w:color="auto"/>
              <w:right w:val="single" w:sz="4" w:space="0" w:color="auto"/>
            </w:tcBorders>
          </w:tcPr>
          <w:p w:rsidR="00E923EA" w:rsidRDefault="00E923EA" w:rsidP="003B5782">
            <w:pPr>
              <w:jc w:val="center"/>
            </w:pPr>
            <w:r>
              <w:t xml:space="preserve">Academic </w:t>
            </w:r>
            <w:r w:rsidR="003B5782">
              <w:t xml:space="preserve">Sessional </w:t>
            </w:r>
            <w:r>
              <w:t>Staff</w:t>
            </w:r>
          </w:p>
        </w:tc>
        <w:tc>
          <w:tcPr>
            <w:tcW w:w="284" w:type="dxa"/>
            <w:tcBorders>
              <w:top w:val="nil"/>
              <w:left w:val="single" w:sz="4" w:space="0" w:color="auto"/>
              <w:bottom w:val="nil"/>
              <w:right w:val="single" w:sz="4" w:space="0" w:color="auto"/>
            </w:tcBorders>
          </w:tcPr>
          <w:p w:rsidR="00E923EA" w:rsidRDefault="00E923EA" w:rsidP="004A058C">
            <w:pPr>
              <w:jc w:val="center"/>
            </w:pPr>
          </w:p>
        </w:tc>
        <w:tc>
          <w:tcPr>
            <w:tcW w:w="1417" w:type="dxa"/>
            <w:tcBorders>
              <w:left w:val="single" w:sz="4" w:space="0" w:color="auto"/>
              <w:right w:val="single" w:sz="4" w:space="0" w:color="auto"/>
            </w:tcBorders>
          </w:tcPr>
          <w:p w:rsidR="00E923EA" w:rsidRDefault="00E923EA" w:rsidP="004A058C">
            <w:pPr>
              <w:jc w:val="center"/>
            </w:pPr>
            <w:r>
              <w:t>Academic Services Staff</w:t>
            </w:r>
          </w:p>
        </w:tc>
        <w:tc>
          <w:tcPr>
            <w:tcW w:w="709" w:type="dxa"/>
            <w:tcBorders>
              <w:top w:val="nil"/>
              <w:left w:val="single" w:sz="4" w:space="0" w:color="auto"/>
              <w:bottom w:val="nil"/>
              <w:right w:val="single" w:sz="4" w:space="0" w:color="auto"/>
            </w:tcBorders>
          </w:tcPr>
          <w:p w:rsidR="00E923EA" w:rsidRDefault="00E923EA" w:rsidP="004A058C">
            <w:pPr>
              <w:jc w:val="center"/>
            </w:pPr>
          </w:p>
        </w:tc>
        <w:tc>
          <w:tcPr>
            <w:tcW w:w="2646" w:type="dxa"/>
            <w:tcBorders>
              <w:left w:val="single" w:sz="4" w:space="0" w:color="auto"/>
            </w:tcBorders>
          </w:tcPr>
          <w:p w:rsidR="00E923EA" w:rsidRDefault="00E923EA" w:rsidP="00C70EDD">
            <w:pPr>
              <w:jc w:val="center"/>
            </w:pPr>
            <w:r>
              <w:t>S</w:t>
            </w:r>
            <w:r w:rsidR="00C70EDD">
              <w:t>tudent</w:t>
            </w:r>
            <w:r>
              <w:t xml:space="preserve"> Services Staff</w:t>
            </w:r>
          </w:p>
        </w:tc>
      </w:tr>
    </w:tbl>
    <w:p w:rsidR="00F02892" w:rsidRDefault="00F02892" w:rsidP="00AA483C">
      <w:pPr>
        <w:spacing w:after="0" w:line="240" w:lineRule="auto"/>
        <w:ind w:left="709" w:hanging="709"/>
        <w:jc w:val="both"/>
      </w:pPr>
    </w:p>
    <w:p w:rsidR="00FE60BA" w:rsidRDefault="00FE60BA" w:rsidP="00FE60BA">
      <w:pPr>
        <w:spacing w:after="0" w:line="240" w:lineRule="auto"/>
        <w:ind w:left="709" w:hanging="709"/>
        <w:jc w:val="center"/>
        <w:rPr>
          <w:b/>
        </w:rPr>
      </w:pPr>
      <w:r>
        <w:rPr>
          <w:b/>
        </w:rPr>
        <w:t>Figure 4: generic College Staff Structure</w:t>
      </w:r>
    </w:p>
    <w:p w:rsidR="00FE60BA" w:rsidRPr="00FE60BA" w:rsidRDefault="00FE60BA" w:rsidP="00FE60BA">
      <w:pPr>
        <w:spacing w:after="0" w:line="240" w:lineRule="auto"/>
        <w:ind w:left="709" w:hanging="709"/>
        <w:jc w:val="center"/>
        <w:rPr>
          <w:b/>
        </w:rPr>
      </w:pPr>
    </w:p>
    <w:p w:rsidR="00E923EA" w:rsidRPr="00FE60BA" w:rsidRDefault="0099774B" w:rsidP="002E6D9D">
      <w:pPr>
        <w:spacing w:after="0" w:line="240" w:lineRule="auto"/>
        <w:ind w:left="567" w:hanging="567"/>
        <w:jc w:val="both"/>
      </w:pPr>
      <w:r>
        <w:t>4.3.2</w:t>
      </w:r>
      <w:r w:rsidR="00E923EA">
        <w:tab/>
      </w:r>
      <w:r w:rsidRPr="00FE60BA">
        <w:rPr>
          <w:u w:val="single"/>
        </w:rPr>
        <w:t>Senior Academic Manager</w:t>
      </w:r>
      <w:r w:rsidR="00FE60BA" w:rsidRPr="00FE60BA">
        <w:rPr>
          <w:color w:val="FF0000"/>
        </w:rPr>
        <w:t xml:space="preserve"> </w:t>
      </w:r>
      <w:r w:rsidR="00E802B3" w:rsidDel="00E802B3">
        <w:t xml:space="preserve"> </w:t>
      </w:r>
      <w:r w:rsidRPr="00B111FF">
        <w:rPr>
          <w:rFonts w:ascii="Calibri" w:hAnsi="Calibri" w:cs="Verdana"/>
        </w:rPr>
        <w:t xml:space="preserve">The </w:t>
      </w:r>
      <w:r>
        <w:rPr>
          <w:rFonts w:ascii="Calibri" w:hAnsi="Calibri" w:cs="Verdana"/>
        </w:rPr>
        <w:t xml:space="preserve">Senior Academic Manager </w:t>
      </w:r>
      <w:r w:rsidRPr="00B111FF">
        <w:rPr>
          <w:rFonts w:ascii="Calibri" w:hAnsi="Calibri" w:cs="Verdana"/>
        </w:rPr>
        <w:t>assist</w:t>
      </w:r>
      <w:r>
        <w:rPr>
          <w:rFonts w:ascii="Calibri" w:hAnsi="Calibri" w:cs="Verdana"/>
        </w:rPr>
        <w:t>s</w:t>
      </w:r>
      <w:r w:rsidRPr="00B111FF">
        <w:rPr>
          <w:rFonts w:ascii="Calibri" w:hAnsi="Calibri" w:cs="Verdana"/>
        </w:rPr>
        <w:t xml:space="preserve"> the College Director/Principal </w:t>
      </w:r>
      <w:r>
        <w:rPr>
          <w:rFonts w:ascii="Calibri" w:hAnsi="Calibri" w:cs="Verdana"/>
        </w:rPr>
        <w:t>in the</w:t>
      </w:r>
      <w:r w:rsidRPr="00B111FF">
        <w:rPr>
          <w:rFonts w:ascii="Calibri" w:hAnsi="Calibri" w:cs="Verdana"/>
        </w:rPr>
        <w:t xml:space="preserve"> efficient and effective </w:t>
      </w:r>
      <w:r>
        <w:rPr>
          <w:rFonts w:ascii="Calibri" w:hAnsi="Calibri" w:cs="Verdana"/>
        </w:rPr>
        <w:t xml:space="preserve">day-to-day </w:t>
      </w:r>
      <w:r w:rsidRPr="00B111FF">
        <w:rPr>
          <w:rFonts w:ascii="Calibri" w:hAnsi="Calibri" w:cs="Verdana"/>
        </w:rPr>
        <w:t>manage</w:t>
      </w:r>
      <w:r>
        <w:rPr>
          <w:rFonts w:ascii="Calibri" w:hAnsi="Calibri" w:cs="Verdana"/>
        </w:rPr>
        <w:t>ment of</w:t>
      </w:r>
      <w:r w:rsidRPr="00B111FF">
        <w:rPr>
          <w:rFonts w:ascii="Calibri" w:hAnsi="Calibri" w:cs="Verdana"/>
        </w:rPr>
        <w:t xml:space="preserve"> t</w:t>
      </w:r>
      <w:r>
        <w:rPr>
          <w:rFonts w:ascii="Calibri" w:hAnsi="Calibri" w:cs="Verdana"/>
        </w:rPr>
        <w:t xml:space="preserve">he College’s teaching and </w:t>
      </w:r>
      <w:r w:rsidRPr="00B111FF">
        <w:rPr>
          <w:rFonts w:ascii="Calibri" w:hAnsi="Calibri" w:cs="Verdana"/>
        </w:rPr>
        <w:t>learning</w:t>
      </w:r>
      <w:r w:rsidR="00C70EDD">
        <w:rPr>
          <w:rFonts w:ascii="Calibri" w:hAnsi="Calibri" w:cs="Verdana"/>
        </w:rPr>
        <w:t xml:space="preserve"> environment</w:t>
      </w:r>
      <w:r w:rsidRPr="00B111FF">
        <w:rPr>
          <w:rFonts w:ascii="Calibri" w:hAnsi="Calibri" w:cs="Verdana"/>
        </w:rPr>
        <w:t xml:space="preserve">. </w:t>
      </w:r>
      <w:r>
        <w:rPr>
          <w:rFonts w:ascii="Calibri" w:hAnsi="Calibri" w:cs="Verdana"/>
        </w:rPr>
        <w:t xml:space="preserve"> </w:t>
      </w:r>
      <w:r w:rsidRPr="00B111FF">
        <w:rPr>
          <w:rFonts w:ascii="Calibri" w:hAnsi="Calibri" w:cs="Verdana"/>
        </w:rPr>
        <w:t>This i</w:t>
      </w:r>
      <w:r>
        <w:rPr>
          <w:rFonts w:ascii="Calibri" w:hAnsi="Calibri" w:cs="Verdana"/>
        </w:rPr>
        <w:t>ncorporates responsibilities for academic</w:t>
      </w:r>
      <w:r w:rsidRPr="00B111FF">
        <w:rPr>
          <w:rFonts w:ascii="Calibri" w:hAnsi="Calibri" w:cs="Verdana"/>
        </w:rPr>
        <w:t xml:space="preserve"> staff management, academic quality </w:t>
      </w:r>
      <w:r>
        <w:rPr>
          <w:rFonts w:ascii="Calibri" w:hAnsi="Calibri" w:cs="Verdana"/>
        </w:rPr>
        <w:t>control</w:t>
      </w:r>
      <w:r w:rsidRPr="00B111FF">
        <w:rPr>
          <w:rFonts w:ascii="Calibri" w:hAnsi="Calibri" w:cs="Verdana"/>
        </w:rPr>
        <w:t xml:space="preserve">, and developing strong links with the </w:t>
      </w:r>
      <w:r>
        <w:rPr>
          <w:rFonts w:ascii="Calibri" w:hAnsi="Calibri" w:cs="Verdana"/>
        </w:rPr>
        <w:t xml:space="preserve">Partner University’s academic staff.  </w:t>
      </w:r>
      <w:r w:rsidR="00FE60BA" w:rsidRPr="00FE60BA">
        <w:rPr>
          <w:rFonts w:ascii="Calibri" w:hAnsi="Calibri" w:cs="Verdana"/>
        </w:rPr>
        <w:t>He/she is</w:t>
      </w:r>
      <w:r w:rsidR="00E923EA" w:rsidRPr="00FE60BA">
        <w:rPr>
          <w:rFonts w:ascii="Calibri" w:hAnsi="Calibri" w:cs="Verdana"/>
        </w:rPr>
        <w:t xml:space="preserve"> </w:t>
      </w:r>
      <w:r w:rsidR="00E923EA" w:rsidRPr="00FE60BA">
        <w:rPr>
          <w:rFonts w:ascii="Calibri" w:hAnsi="Calibri" w:cs="Arial"/>
        </w:rPr>
        <w:t>responsible for the development and implementation of the College</w:t>
      </w:r>
      <w:r w:rsidR="00FE60BA">
        <w:rPr>
          <w:rFonts w:ascii="Calibri" w:hAnsi="Calibri" w:cs="Arial"/>
        </w:rPr>
        <w:t>’s</w:t>
      </w:r>
      <w:r w:rsidR="00E923EA" w:rsidRPr="00FE60BA">
        <w:rPr>
          <w:rFonts w:ascii="Calibri" w:hAnsi="Calibri" w:cs="Arial"/>
        </w:rPr>
        <w:t xml:space="preserve"> Learning</w:t>
      </w:r>
      <w:r w:rsidR="00FE60BA">
        <w:rPr>
          <w:rFonts w:ascii="Calibri" w:hAnsi="Calibri" w:cs="Arial"/>
        </w:rPr>
        <w:t xml:space="preserve"> and</w:t>
      </w:r>
      <w:r w:rsidR="00E923EA" w:rsidRPr="00FE60BA">
        <w:rPr>
          <w:rFonts w:ascii="Calibri" w:hAnsi="Calibri" w:cs="Arial"/>
        </w:rPr>
        <w:t xml:space="preserve"> Teaching</w:t>
      </w:r>
      <w:r w:rsidR="00FE60BA" w:rsidRPr="00FE60BA">
        <w:rPr>
          <w:rFonts w:ascii="Calibri" w:hAnsi="Calibri" w:cs="Arial"/>
        </w:rPr>
        <w:t xml:space="preserve"> </w:t>
      </w:r>
      <w:r w:rsidR="00C70EDD">
        <w:rPr>
          <w:rFonts w:ascii="Calibri" w:hAnsi="Calibri" w:cs="Arial"/>
        </w:rPr>
        <w:t xml:space="preserve">Action </w:t>
      </w:r>
      <w:r w:rsidR="00FE60BA" w:rsidRPr="00FE60BA">
        <w:rPr>
          <w:rFonts w:ascii="Calibri" w:hAnsi="Calibri" w:cs="Arial"/>
        </w:rPr>
        <w:t>P</w:t>
      </w:r>
      <w:r w:rsidR="00E923EA" w:rsidRPr="00FE60BA">
        <w:rPr>
          <w:rFonts w:ascii="Calibri" w:hAnsi="Calibri" w:cs="Arial"/>
        </w:rPr>
        <w:t xml:space="preserve">lans. </w:t>
      </w:r>
      <w:r w:rsidR="00FE60BA" w:rsidRPr="00FE60BA">
        <w:rPr>
          <w:rFonts w:ascii="Calibri" w:hAnsi="Calibri" w:cs="Arial"/>
        </w:rPr>
        <w:t xml:space="preserve"> He/she </w:t>
      </w:r>
      <w:r w:rsidR="00E923EA" w:rsidRPr="00FE60BA">
        <w:rPr>
          <w:rFonts w:ascii="Calibri" w:hAnsi="Calibri" w:cs="Arial"/>
        </w:rPr>
        <w:t>drives the retention process in partnership with the St</w:t>
      </w:r>
      <w:r w:rsidR="00FE60BA" w:rsidRPr="00FE60BA">
        <w:rPr>
          <w:rFonts w:ascii="Calibri" w:hAnsi="Calibri" w:cs="Arial"/>
        </w:rPr>
        <w:t>udent Services Manager</w:t>
      </w:r>
      <w:r w:rsidR="00E923EA" w:rsidRPr="00FE60BA">
        <w:rPr>
          <w:rFonts w:ascii="Calibri" w:hAnsi="Calibri" w:cs="Arial"/>
        </w:rPr>
        <w:t xml:space="preserve"> as high retention rates form one of </w:t>
      </w:r>
      <w:r w:rsidR="00FE60BA" w:rsidRPr="00FE60BA">
        <w:rPr>
          <w:rFonts w:ascii="Calibri" w:hAnsi="Calibri" w:cs="Arial"/>
        </w:rPr>
        <w:t>each</w:t>
      </w:r>
      <w:r w:rsidR="00E923EA" w:rsidRPr="00FE60BA">
        <w:rPr>
          <w:rFonts w:ascii="Calibri" w:hAnsi="Calibri" w:cs="Arial"/>
        </w:rPr>
        <w:t xml:space="preserve"> College’s critical Key Performance Indicators.  </w:t>
      </w:r>
      <w:r w:rsidR="00FE60BA">
        <w:t xml:space="preserve">He/she reports directly to the College Director/Principal, is Vice Chair of the College Learning and Teaching Board, a member of the Learning and Teaching Forum, and chairs Module Panels. </w:t>
      </w:r>
      <w:r w:rsidR="00FE60BA" w:rsidRPr="00FE60BA">
        <w:t xml:space="preserve"> </w:t>
      </w:r>
    </w:p>
    <w:p w:rsidR="00F02892" w:rsidRDefault="00F02892" w:rsidP="00AA483C">
      <w:pPr>
        <w:spacing w:after="0" w:line="240" w:lineRule="auto"/>
        <w:ind w:left="709" w:hanging="709"/>
        <w:jc w:val="both"/>
      </w:pPr>
    </w:p>
    <w:p w:rsidR="00DD7A82" w:rsidRPr="00006C0F" w:rsidRDefault="00DD7A82" w:rsidP="00DD7A82">
      <w:pPr>
        <w:spacing w:after="0" w:line="240" w:lineRule="auto"/>
        <w:ind w:left="720" w:hanging="720"/>
        <w:jc w:val="both"/>
        <w:rPr>
          <w:color w:val="FF0000"/>
        </w:rPr>
      </w:pPr>
      <w:r>
        <w:t>4.3.3</w:t>
      </w:r>
      <w:r>
        <w:tab/>
      </w:r>
      <w:r w:rsidRPr="00006C0F">
        <w:rPr>
          <w:u w:val="single"/>
        </w:rPr>
        <w:t>Senior S</w:t>
      </w:r>
      <w:r w:rsidR="00C70EDD">
        <w:rPr>
          <w:u w:val="single"/>
        </w:rPr>
        <w:t>tudent</w:t>
      </w:r>
      <w:r w:rsidRPr="00006C0F">
        <w:rPr>
          <w:u w:val="single"/>
        </w:rPr>
        <w:t xml:space="preserve"> Services M</w:t>
      </w:r>
      <w:r w:rsidR="004A058C" w:rsidRPr="00006C0F">
        <w:rPr>
          <w:u w:val="single"/>
        </w:rPr>
        <w:t>anager</w:t>
      </w:r>
      <w:r w:rsidR="00006C0F">
        <w:t xml:space="preserve">  </w:t>
      </w:r>
    </w:p>
    <w:p w:rsidR="00DD7A82" w:rsidRPr="00A2369F" w:rsidRDefault="00006C0F" w:rsidP="004A058C">
      <w:pPr>
        <w:spacing w:after="0" w:line="240" w:lineRule="auto"/>
        <w:ind w:left="720"/>
        <w:jc w:val="both"/>
      </w:pPr>
      <w:r w:rsidRPr="002A78AB">
        <w:rPr>
          <w:rFonts w:ascii="Calibri" w:hAnsi="Calibri" w:cs="Arial"/>
        </w:rPr>
        <w:t>He/she is</w:t>
      </w:r>
      <w:r w:rsidR="004A058C" w:rsidRPr="002A78AB">
        <w:rPr>
          <w:rFonts w:ascii="Calibri" w:hAnsi="Calibri" w:cs="Arial"/>
        </w:rPr>
        <w:t xml:space="preserve"> responsible for the development and implementation of </w:t>
      </w:r>
      <w:r w:rsidRPr="002A78AB">
        <w:rPr>
          <w:rFonts w:ascii="Calibri" w:hAnsi="Calibri" w:cs="Arial"/>
        </w:rPr>
        <w:t>student</w:t>
      </w:r>
      <w:r w:rsidR="004A058C" w:rsidRPr="002A78AB">
        <w:rPr>
          <w:rFonts w:ascii="Calibri" w:hAnsi="Calibri" w:cs="Arial"/>
        </w:rPr>
        <w:t xml:space="preserve"> services and support</w:t>
      </w:r>
      <w:r w:rsidRPr="002A78AB">
        <w:rPr>
          <w:rFonts w:ascii="Calibri" w:hAnsi="Calibri" w:cs="Arial"/>
        </w:rPr>
        <w:t xml:space="preserve">, </w:t>
      </w:r>
      <w:r w:rsidR="004A058C" w:rsidRPr="002A78AB">
        <w:rPr>
          <w:rFonts w:ascii="Calibri" w:hAnsi="Calibri" w:cs="Arial"/>
        </w:rPr>
        <w:t>inclu</w:t>
      </w:r>
      <w:r w:rsidRPr="002A78AB">
        <w:rPr>
          <w:rFonts w:ascii="Calibri" w:hAnsi="Calibri" w:cs="Arial"/>
        </w:rPr>
        <w:t xml:space="preserve">ding </w:t>
      </w:r>
      <w:r w:rsidR="004A058C" w:rsidRPr="002A78AB">
        <w:rPr>
          <w:rFonts w:ascii="Calibri" w:hAnsi="Calibri" w:cs="Arial"/>
        </w:rPr>
        <w:t>the College 24/7 emergency mobile system</w:t>
      </w:r>
      <w:r w:rsidR="00C70EDD" w:rsidRPr="002A78AB">
        <w:rPr>
          <w:rFonts w:ascii="Calibri" w:hAnsi="Calibri" w:cs="Arial"/>
        </w:rPr>
        <w:t>; accommodation services</w:t>
      </w:r>
      <w:r w:rsidR="004A058C" w:rsidRPr="002A78AB">
        <w:rPr>
          <w:rFonts w:ascii="Calibri" w:hAnsi="Calibri" w:cs="Arial"/>
        </w:rPr>
        <w:t xml:space="preserve"> and the</w:t>
      </w:r>
      <w:r w:rsidRPr="002A78AB">
        <w:rPr>
          <w:rFonts w:ascii="Calibri" w:hAnsi="Calibri" w:cs="Arial"/>
        </w:rPr>
        <w:t xml:space="preserve"> Students</w:t>
      </w:r>
      <w:r w:rsidR="00C70EDD" w:rsidRPr="002A78AB">
        <w:rPr>
          <w:rFonts w:ascii="Calibri" w:hAnsi="Calibri" w:cs="Arial"/>
        </w:rPr>
        <w:t>’</w:t>
      </w:r>
      <w:r w:rsidRPr="002A78AB">
        <w:rPr>
          <w:rFonts w:ascii="Calibri" w:hAnsi="Calibri" w:cs="Arial"/>
        </w:rPr>
        <w:t xml:space="preserve"> in Jeopardy programme. </w:t>
      </w:r>
      <w:r w:rsidR="004A058C" w:rsidRPr="002A78AB">
        <w:rPr>
          <w:rFonts w:ascii="Calibri" w:hAnsi="Calibri" w:cs="Arial"/>
        </w:rPr>
        <w:t xml:space="preserve"> </w:t>
      </w:r>
      <w:r w:rsidRPr="002A78AB">
        <w:rPr>
          <w:rFonts w:ascii="Calibri" w:hAnsi="Calibri" w:cs="Arial"/>
        </w:rPr>
        <w:t xml:space="preserve">The </w:t>
      </w:r>
      <w:r w:rsidR="004A058C" w:rsidRPr="002A78AB">
        <w:rPr>
          <w:rFonts w:ascii="Calibri" w:hAnsi="Calibri" w:cs="Arial"/>
        </w:rPr>
        <w:t xml:space="preserve">wider remit </w:t>
      </w:r>
      <w:r w:rsidRPr="002A78AB">
        <w:rPr>
          <w:rFonts w:ascii="Calibri" w:hAnsi="Calibri" w:cs="Arial"/>
        </w:rPr>
        <w:t xml:space="preserve">is </w:t>
      </w:r>
      <w:r w:rsidR="004A058C" w:rsidRPr="002A78AB">
        <w:rPr>
          <w:rFonts w:ascii="Calibri" w:hAnsi="Calibri" w:cs="Arial"/>
        </w:rPr>
        <w:t>to afford high levels of pastoral care and service, inclusive of student accommodation</w:t>
      </w:r>
      <w:r w:rsidRPr="002A78AB">
        <w:rPr>
          <w:rFonts w:ascii="Calibri" w:hAnsi="Calibri" w:cs="Arial"/>
        </w:rPr>
        <w:t xml:space="preserve">, </w:t>
      </w:r>
      <w:r w:rsidR="004A058C" w:rsidRPr="002A78AB">
        <w:rPr>
          <w:rFonts w:ascii="Calibri" w:hAnsi="Calibri" w:cs="Arial"/>
        </w:rPr>
        <w:t>the planning, implementation and management of effective visa monitoring services, Health and Safety</w:t>
      </w:r>
      <w:r w:rsidRPr="002A78AB">
        <w:rPr>
          <w:rFonts w:ascii="Calibri" w:hAnsi="Calibri" w:cs="Arial"/>
        </w:rPr>
        <w:t>,</w:t>
      </w:r>
      <w:r w:rsidR="004A058C" w:rsidRPr="002A78AB">
        <w:rPr>
          <w:rFonts w:ascii="Calibri" w:hAnsi="Calibri" w:cs="Arial"/>
        </w:rPr>
        <w:t xml:space="preserve"> and Crisis Management policy and procedure for the College staff and students, security and specification standards of the built environment in liaison with the partner university and reporting to the relevant Estate</w:t>
      </w:r>
      <w:r w:rsidR="002A78AB" w:rsidRPr="002A78AB">
        <w:rPr>
          <w:rFonts w:ascii="Calibri" w:hAnsi="Calibri" w:cs="Arial"/>
        </w:rPr>
        <w:t>s/Facilities points of contact</w:t>
      </w:r>
      <w:r w:rsidRPr="002A78AB">
        <w:rPr>
          <w:rFonts w:ascii="Calibri" w:hAnsi="Calibri" w:cs="Arial"/>
        </w:rPr>
        <w:t>.</w:t>
      </w:r>
      <w:r w:rsidR="00A2369F" w:rsidRPr="002A78AB">
        <w:rPr>
          <w:rFonts w:ascii="Calibri" w:hAnsi="Calibri" w:cs="Arial"/>
        </w:rPr>
        <w:t xml:space="preserve"> </w:t>
      </w:r>
      <w:r w:rsidR="00A2369F">
        <w:rPr>
          <w:rFonts w:ascii="Calibri" w:hAnsi="Calibri" w:cs="Arial"/>
        </w:rPr>
        <w:t>(See NPR QS7)</w:t>
      </w:r>
    </w:p>
    <w:p w:rsidR="00DD7A82" w:rsidRDefault="00DD7A82" w:rsidP="00DD7A82">
      <w:pPr>
        <w:spacing w:after="0" w:line="240" w:lineRule="auto"/>
        <w:ind w:left="720" w:hanging="720"/>
        <w:jc w:val="both"/>
      </w:pPr>
    </w:p>
    <w:p w:rsidR="00DD7A82" w:rsidRDefault="00DD7A82" w:rsidP="00DD7A82">
      <w:pPr>
        <w:spacing w:after="0" w:line="240" w:lineRule="auto"/>
        <w:ind w:left="720" w:hanging="720"/>
        <w:jc w:val="both"/>
      </w:pPr>
      <w:r>
        <w:t>4.3.4</w:t>
      </w:r>
      <w:r>
        <w:tab/>
      </w:r>
      <w:r w:rsidRPr="00006C0F">
        <w:rPr>
          <w:u w:val="single"/>
        </w:rPr>
        <w:t>Director of Marketing and Recruitment</w:t>
      </w:r>
    </w:p>
    <w:p w:rsidR="00DD7A82" w:rsidRDefault="00DD7A82" w:rsidP="00DD7A82">
      <w:pPr>
        <w:spacing w:after="0" w:line="240" w:lineRule="auto"/>
        <w:ind w:left="720"/>
        <w:jc w:val="both"/>
      </w:pPr>
      <w:r>
        <w:lastRenderedPageBreak/>
        <w:t xml:space="preserve">The Director of Marketing and Recruitment reports directly to the College Director/Principal and is responsible for the </w:t>
      </w:r>
      <w:r w:rsidR="003C780A">
        <w:t xml:space="preserve">Recruitment </w:t>
      </w:r>
      <w:r w:rsidR="00C70EDD">
        <w:t xml:space="preserve">and Marketing process of the College, inclusive of </w:t>
      </w:r>
      <w:r>
        <w:t xml:space="preserve">day-to-day quality control of the recruitment and </w:t>
      </w:r>
      <w:r w:rsidR="00C70EDD">
        <w:t xml:space="preserve">Admission </w:t>
      </w:r>
      <w:r>
        <w:t>compliance process for Tier 4 HTS. This individual is also a member of the UK Marketing Forum for dialogue, consultation and engagement purposes.</w:t>
      </w:r>
    </w:p>
    <w:p w:rsidR="00DD7A82" w:rsidRDefault="00DD7A82" w:rsidP="00DD7A82">
      <w:pPr>
        <w:spacing w:after="0" w:line="240" w:lineRule="auto"/>
        <w:jc w:val="both"/>
      </w:pPr>
    </w:p>
    <w:p w:rsidR="00F02892" w:rsidRDefault="00F02892" w:rsidP="00AA483C">
      <w:pPr>
        <w:spacing w:after="0" w:line="240" w:lineRule="auto"/>
        <w:ind w:left="709" w:hanging="709"/>
        <w:jc w:val="both"/>
      </w:pPr>
    </w:p>
    <w:p w:rsidR="00F02892" w:rsidRDefault="00F02892" w:rsidP="00AA483C">
      <w:pPr>
        <w:spacing w:after="0" w:line="240" w:lineRule="auto"/>
        <w:ind w:left="709" w:hanging="709"/>
        <w:jc w:val="both"/>
      </w:pPr>
    </w:p>
    <w:p w:rsidR="00AA483C" w:rsidRDefault="00AA483C" w:rsidP="00AA483C">
      <w:pPr>
        <w:spacing w:after="0" w:line="240" w:lineRule="auto"/>
        <w:ind w:left="709" w:hanging="709"/>
        <w:jc w:val="both"/>
        <w:rPr>
          <w:b/>
        </w:rPr>
      </w:pPr>
      <w:r>
        <w:rPr>
          <w:b/>
        </w:rPr>
        <w:t>5</w:t>
      </w:r>
      <w:r>
        <w:rPr>
          <w:b/>
        </w:rPr>
        <w:tab/>
      </w:r>
      <w:r w:rsidR="00006C0F">
        <w:rPr>
          <w:b/>
        </w:rPr>
        <w:t>PARTNERSHIP QUALITY ASSURANCE</w:t>
      </w:r>
    </w:p>
    <w:p w:rsidR="00AA483C" w:rsidRPr="00AA483C" w:rsidRDefault="00AA483C" w:rsidP="00AA483C">
      <w:pPr>
        <w:spacing w:after="0" w:line="240" w:lineRule="auto"/>
        <w:ind w:left="709" w:hanging="709"/>
        <w:jc w:val="both"/>
      </w:pPr>
    </w:p>
    <w:p w:rsidR="002C023B" w:rsidRPr="00573882" w:rsidRDefault="002C023B" w:rsidP="00D603C7">
      <w:pPr>
        <w:spacing w:after="0" w:line="240" w:lineRule="auto"/>
        <w:ind w:left="720" w:hanging="11"/>
        <w:jc w:val="both"/>
      </w:pPr>
      <w:r>
        <w:t xml:space="preserve">A college, in partnership with its </w:t>
      </w:r>
      <w:r w:rsidR="00CB3D3F">
        <w:t>partner university</w:t>
      </w:r>
      <w:r>
        <w:t>, provides a</w:t>
      </w:r>
      <w:r w:rsidRPr="00573882">
        <w:t>lternative</w:t>
      </w:r>
      <w:r>
        <w:t xml:space="preserve"> </w:t>
      </w:r>
      <w:r w:rsidRPr="00573882">
        <w:t>entry point</w:t>
      </w:r>
      <w:r>
        <w:t>s</w:t>
      </w:r>
      <w:r w:rsidR="002E34A2">
        <w:t xml:space="preserve"> </w:t>
      </w:r>
      <w:r>
        <w:t xml:space="preserve">to predominantly international students (some EEA) wishing to undertake studies </w:t>
      </w:r>
      <w:r w:rsidR="00AF3CD0">
        <w:t xml:space="preserve">leading </w:t>
      </w:r>
      <w:r>
        <w:t>to a degre</w:t>
      </w:r>
      <w:r w:rsidR="002E34A2">
        <w:t xml:space="preserve">e award who meet prescribed academic qualifications and have a minimum capability in the English Language.  </w:t>
      </w:r>
      <w:r>
        <w:t xml:space="preserve">The </w:t>
      </w:r>
      <w:r w:rsidRPr="00573882">
        <w:t xml:space="preserve">model therefore facilitates access to a degree ‘pathway’ </w:t>
      </w:r>
      <w:r>
        <w:t xml:space="preserve">in partnership with a </w:t>
      </w:r>
      <w:r w:rsidR="00CB3D3F">
        <w:t>partner university</w:t>
      </w:r>
      <w:r>
        <w:t xml:space="preserve"> and each </w:t>
      </w:r>
      <w:r w:rsidRPr="00573882">
        <w:t>college is speci</w:t>
      </w:r>
      <w:r>
        <w:t xml:space="preserve">fically aligned and embedded with that </w:t>
      </w:r>
      <w:r w:rsidR="00CB3D3F">
        <w:t>partner university</w:t>
      </w:r>
      <w:r w:rsidRPr="00573882">
        <w:t>.  The model provides a smaller more responsive college environment for such students to adjust to the wider mature learning environment of its</w:t>
      </w:r>
      <w:r>
        <w:t xml:space="preserve"> </w:t>
      </w:r>
      <w:r w:rsidR="00CB3D3F">
        <w:t>partner university</w:t>
      </w:r>
      <w:r>
        <w:t xml:space="preserve">. </w:t>
      </w:r>
    </w:p>
    <w:p w:rsidR="002E34A2" w:rsidRDefault="002E34A2" w:rsidP="00574ACE">
      <w:pPr>
        <w:shd w:val="clear" w:color="auto" w:fill="FFFFFF"/>
        <w:spacing w:after="0" w:line="240" w:lineRule="auto"/>
        <w:ind w:left="720" w:hanging="720"/>
        <w:jc w:val="both"/>
        <w:rPr>
          <w:rFonts w:cstheme="minorHAnsi"/>
          <w:lang w:val="en-US"/>
        </w:rPr>
      </w:pPr>
    </w:p>
    <w:p w:rsidR="00A30177" w:rsidRPr="001C2654" w:rsidRDefault="00D603C7" w:rsidP="00573882">
      <w:pPr>
        <w:spacing w:after="0" w:line="240" w:lineRule="auto"/>
        <w:jc w:val="both"/>
        <w:rPr>
          <w:b/>
        </w:rPr>
      </w:pPr>
      <w:r>
        <w:rPr>
          <w:b/>
        </w:rPr>
        <w:t>5.1</w:t>
      </w:r>
      <w:r w:rsidR="002E34A2" w:rsidRPr="001C2654">
        <w:rPr>
          <w:b/>
        </w:rPr>
        <w:tab/>
        <w:t>Key Bodies and Roles</w:t>
      </w:r>
    </w:p>
    <w:p w:rsidR="00A30177" w:rsidRDefault="00A30177" w:rsidP="00A30177">
      <w:pPr>
        <w:spacing w:after="0" w:line="240" w:lineRule="auto"/>
        <w:jc w:val="both"/>
        <w:rPr>
          <w:rFonts w:cstheme="minorHAnsi"/>
        </w:rPr>
      </w:pPr>
    </w:p>
    <w:p w:rsidR="002E34A2" w:rsidRDefault="00D603C7" w:rsidP="00A30177">
      <w:pPr>
        <w:spacing w:after="0" w:line="240" w:lineRule="auto"/>
        <w:jc w:val="both"/>
        <w:rPr>
          <w:rFonts w:cstheme="minorHAnsi"/>
        </w:rPr>
      </w:pPr>
      <w:r>
        <w:rPr>
          <w:rFonts w:cstheme="minorHAnsi"/>
        </w:rPr>
        <w:t>5.1</w:t>
      </w:r>
      <w:r w:rsidR="004B5830">
        <w:rPr>
          <w:rFonts w:cstheme="minorHAnsi"/>
        </w:rPr>
        <w:t>.1</w:t>
      </w:r>
      <w:r w:rsidR="002E34A2">
        <w:rPr>
          <w:rFonts w:cstheme="minorHAnsi"/>
        </w:rPr>
        <w:tab/>
      </w:r>
      <w:r w:rsidR="002E34A2" w:rsidRPr="001C2654">
        <w:rPr>
          <w:rFonts w:cstheme="minorHAnsi"/>
          <w:u w:val="single"/>
        </w:rPr>
        <w:t>Joint Strategic Partnership Management Board</w:t>
      </w:r>
      <w:r w:rsidR="004B5830" w:rsidRPr="001C2654">
        <w:rPr>
          <w:rFonts w:cstheme="minorHAnsi"/>
          <w:u w:val="single"/>
        </w:rPr>
        <w:t xml:space="preserve"> (JSPMB)</w:t>
      </w:r>
    </w:p>
    <w:p w:rsidR="00264558" w:rsidRDefault="002E34A2" w:rsidP="00264558">
      <w:pPr>
        <w:spacing w:after="0" w:line="240" w:lineRule="auto"/>
        <w:ind w:left="709" w:hanging="709"/>
        <w:jc w:val="both"/>
        <w:rPr>
          <w:rFonts w:eastAsia="Times New Roman" w:cs="Times New Roman"/>
          <w:lang w:eastAsia="en-US"/>
        </w:rPr>
      </w:pPr>
      <w:r w:rsidRPr="00264558">
        <w:rPr>
          <w:rFonts w:cstheme="minorHAnsi"/>
        </w:rPr>
        <w:tab/>
      </w:r>
      <w:r w:rsidR="004B5830" w:rsidRPr="00264558">
        <w:rPr>
          <w:rFonts w:cstheme="minorHAnsi"/>
        </w:rPr>
        <w:t xml:space="preserve">The JSPMB has </w:t>
      </w:r>
      <w:r w:rsidR="0031483F" w:rsidRPr="00264558">
        <w:rPr>
          <w:rFonts w:cstheme="minorHAnsi"/>
        </w:rPr>
        <w:t xml:space="preserve">strategic </w:t>
      </w:r>
      <w:r w:rsidR="004B5830" w:rsidRPr="00264558">
        <w:rPr>
          <w:rFonts w:cstheme="minorHAnsi"/>
        </w:rPr>
        <w:t>oversight of the College/Partner University partnership</w:t>
      </w:r>
      <w:r w:rsidR="00264558" w:rsidRPr="00264558">
        <w:rPr>
          <w:rFonts w:cstheme="minorHAnsi"/>
        </w:rPr>
        <w:t xml:space="preserve"> according to the formal Recognition and Articulation Agreement (RAA) between the parties</w:t>
      </w:r>
      <w:r w:rsidR="004B5830" w:rsidRPr="00264558">
        <w:rPr>
          <w:rFonts w:cstheme="minorHAnsi"/>
        </w:rPr>
        <w:t xml:space="preserve">.  </w:t>
      </w:r>
      <w:r w:rsidR="00264558" w:rsidRPr="00264558">
        <w:rPr>
          <w:rFonts w:cstheme="minorHAnsi"/>
          <w:bCs/>
        </w:rPr>
        <w:t>The JSPMB</w:t>
      </w:r>
      <w:r w:rsidR="007F65AE" w:rsidRPr="00264558">
        <w:rPr>
          <w:rFonts w:cstheme="minorHAnsi"/>
          <w:bCs/>
        </w:rPr>
        <w:t xml:space="preserve"> forms the interface between Levels 3 and 4 of the Quality and S</w:t>
      </w:r>
      <w:r w:rsidR="00AF3CD0">
        <w:rPr>
          <w:rFonts w:cstheme="minorHAnsi"/>
          <w:bCs/>
        </w:rPr>
        <w:t>tandards Framework (see figure 1</w:t>
      </w:r>
      <w:r w:rsidR="007F65AE" w:rsidRPr="00264558">
        <w:rPr>
          <w:rFonts w:cstheme="minorHAnsi"/>
          <w:bCs/>
        </w:rPr>
        <w:t>) and provides the fundamental assurance of the academic standards of the College’s provision, a</w:t>
      </w:r>
      <w:r w:rsidR="004B5830" w:rsidRPr="00264558">
        <w:rPr>
          <w:rFonts w:cstheme="minorHAnsi"/>
        </w:rPr>
        <w:t xml:space="preserve">s well as ensuring the efficient and effective operation of the partnership.  </w:t>
      </w:r>
      <w:r w:rsidR="00264558" w:rsidRPr="00264558">
        <w:rPr>
          <w:rFonts w:eastAsia="Times New Roman" w:cs="Times New Roman"/>
          <w:lang w:eastAsia="en-US"/>
        </w:rPr>
        <w:t>The role of th</w:t>
      </w:r>
      <w:r w:rsidR="00264558">
        <w:rPr>
          <w:rFonts w:eastAsia="Times New Roman" w:cs="Times New Roman"/>
          <w:lang w:eastAsia="en-US"/>
        </w:rPr>
        <w:t>e JSPMB</w:t>
      </w:r>
      <w:r w:rsidR="00264558" w:rsidRPr="00264558">
        <w:rPr>
          <w:rFonts w:eastAsia="Times New Roman" w:cs="Times New Roman"/>
          <w:lang w:eastAsia="en-US"/>
        </w:rPr>
        <w:t xml:space="preserve"> is to ensure that:</w:t>
      </w:r>
    </w:p>
    <w:p w:rsidR="00C70EDD" w:rsidRPr="00264558" w:rsidRDefault="00C70EDD" w:rsidP="00264558">
      <w:pPr>
        <w:spacing w:after="0" w:line="240" w:lineRule="auto"/>
        <w:ind w:left="709" w:hanging="709"/>
        <w:jc w:val="both"/>
        <w:rPr>
          <w:rFonts w:eastAsia="Times New Roman" w:cs="Times New Roman"/>
          <w:lang w:eastAsia="en-US"/>
        </w:rPr>
      </w:pPr>
    </w:p>
    <w:p w:rsidR="00264558" w:rsidRPr="00264558" w:rsidRDefault="00264558" w:rsidP="005776E0">
      <w:pPr>
        <w:numPr>
          <w:ilvl w:val="0"/>
          <w:numId w:val="29"/>
        </w:numPr>
        <w:spacing w:after="0" w:line="240" w:lineRule="auto"/>
        <w:ind w:left="1134" w:hanging="425"/>
        <w:jc w:val="both"/>
        <w:rPr>
          <w:rFonts w:eastAsia="Times New Roman" w:cs="Times New Roman"/>
          <w:lang w:eastAsia="en-US"/>
        </w:rPr>
      </w:pPr>
      <w:r>
        <w:rPr>
          <w:rFonts w:eastAsia="Times New Roman" w:cs="Times New Roman"/>
          <w:lang w:eastAsia="en-US"/>
        </w:rPr>
        <w:t>a</w:t>
      </w:r>
      <w:r w:rsidRPr="00264558">
        <w:rPr>
          <w:rFonts w:eastAsia="Times New Roman" w:cs="Times New Roman"/>
          <w:lang w:eastAsia="en-US"/>
        </w:rPr>
        <w:t xml:space="preserve"> forum is provided for advancing the mutual interests of the </w:t>
      </w:r>
      <w:r>
        <w:rPr>
          <w:rFonts w:eastAsia="Times New Roman" w:cs="Times New Roman"/>
          <w:lang w:eastAsia="en-US"/>
        </w:rPr>
        <w:t>College and the University</w:t>
      </w:r>
      <w:r w:rsidRPr="00264558">
        <w:rPr>
          <w:rFonts w:eastAsia="Times New Roman" w:cs="Times New Roman"/>
          <w:lang w:eastAsia="en-US"/>
        </w:rPr>
        <w:t xml:space="preserve"> through strategic planning initiatives and the development of synergistic relationships;</w:t>
      </w:r>
    </w:p>
    <w:p w:rsidR="00264558" w:rsidRPr="00264558" w:rsidRDefault="00264558" w:rsidP="005776E0">
      <w:pPr>
        <w:numPr>
          <w:ilvl w:val="0"/>
          <w:numId w:val="29"/>
        </w:numPr>
        <w:spacing w:after="0" w:line="240" w:lineRule="auto"/>
        <w:ind w:left="1134" w:hanging="425"/>
        <w:jc w:val="both"/>
        <w:rPr>
          <w:rFonts w:eastAsia="Times New Roman" w:cs="Times New Roman"/>
          <w:lang w:eastAsia="en-US"/>
        </w:rPr>
      </w:pPr>
      <w:r>
        <w:rPr>
          <w:rFonts w:eastAsia="Times New Roman" w:cs="Times New Roman"/>
          <w:lang w:eastAsia="en-US"/>
        </w:rPr>
        <w:t>t</w:t>
      </w:r>
      <w:r w:rsidRPr="00264558">
        <w:rPr>
          <w:rFonts w:eastAsia="Times New Roman" w:cs="Times New Roman"/>
          <w:lang w:eastAsia="en-US"/>
        </w:rPr>
        <w:t xml:space="preserve">he partnership is facilitated in line with the terms and conditions </w:t>
      </w:r>
      <w:r>
        <w:rPr>
          <w:rFonts w:eastAsia="Times New Roman" w:cs="Times New Roman"/>
          <w:lang w:eastAsia="en-US"/>
        </w:rPr>
        <w:t>of</w:t>
      </w:r>
      <w:r w:rsidRPr="00264558">
        <w:rPr>
          <w:rFonts w:eastAsia="Times New Roman" w:cs="Times New Roman"/>
          <w:lang w:eastAsia="en-US"/>
        </w:rPr>
        <w:t xml:space="preserve"> the</w:t>
      </w:r>
      <w:r>
        <w:rPr>
          <w:rFonts w:eastAsia="Times New Roman" w:cs="Times New Roman"/>
          <w:lang w:eastAsia="en-US"/>
        </w:rPr>
        <w:t xml:space="preserve"> RAA</w:t>
      </w:r>
      <w:r w:rsidRPr="00264558">
        <w:rPr>
          <w:rFonts w:eastAsia="Times New Roman" w:cs="Times New Roman"/>
          <w:lang w:eastAsia="en-US"/>
        </w:rPr>
        <w:t xml:space="preserve">; </w:t>
      </w:r>
    </w:p>
    <w:p w:rsidR="00264558" w:rsidRPr="00264558" w:rsidRDefault="00264558" w:rsidP="005776E0">
      <w:pPr>
        <w:numPr>
          <w:ilvl w:val="0"/>
          <w:numId w:val="29"/>
        </w:numPr>
        <w:spacing w:after="0" w:line="240" w:lineRule="auto"/>
        <w:ind w:left="1134" w:hanging="425"/>
        <w:jc w:val="both"/>
        <w:rPr>
          <w:rFonts w:eastAsia="Times New Roman" w:cs="Times New Roman"/>
          <w:lang w:eastAsia="en-US"/>
        </w:rPr>
      </w:pPr>
      <w:r>
        <w:rPr>
          <w:rFonts w:eastAsia="Times New Roman" w:cs="Times New Roman"/>
          <w:lang w:eastAsia="en-US"/>
        </w:rPr>
        <w:t>t</w:t>
      </w:r>
      <w:r w:rsidRPr="00264558">
        <w:rPr>
          <w:rFonts w:eastAsia="Times New Roman" w:cs="Times New Roman"/>
          <w:lang w:eastAsia="en-US"/>
        </w:rPr>
        <w:t>he interaction between the College and the University management processes is effective through representation of JS</w:t>
      </w:r>
      <w:r>
        <w:rPr>
          <w:rFonts w:eastAsia="Times New Roman" w:cs="Times New Roman"/>
          <w:lang w:eastAsia="en-US"/>
        </w:rPr>
        <w:t>P</w:t>
      </w:r>
      <w:r w:rsidRPr="00264558">
        <w:rPr>
          <w:rFonts w:eastAsia="Times New Roman" w:cs="Times New Roman"/>
          <w:lang w:eastAsia="en-US"/>
        </w:rPr>
        <w:t xml:space="preserve">MB </w:t>
      </w:r>
      <w:r w:rsidR="001C2654">
        <w:rPr>
          <w:rFonts w:eastAsia="Times New Roman" w:cs="Times New Roman"/>
          <w:lang w:eastAsia="en-US"/>
        </w:rPr>
        <w:t xml:space="preserve">members </w:t>
      </w:r>
      <w:r w:rsidRPr="00264558">
        <w:rPr>
          <w:rFonts w:eastAsia="Times New Roman" w:cs="Times New Roman"/>
          <w:lang w:eastAsia="en-US"/>
        </w:rPr>
        <w:t>on relevant executive committees of both organisations;</w:t>
      </w:r>
    </w:p>
    <w:p w:rsidR="00264558" w:rsidRPr="00264558" w:rsidRDefault="001C2654" w:rsidP="005776E0">
      <w:pPr>
        <w:numPr>
          <w:ilvl w:val="0"/>
          <w:numId w:val="29"/>
        </w:numPr>
        <w:spacing w:after="0" w:line="240" w:lineRule="auto"/>
        <w:ind w:left="1134" w:hanging="425"/>
        <w:jc w:val="both"/>
        <w:rPr>
          <w:rFonts w:eastAsia="Times New Roman" w:cs="Times New Roman"/>
          <w:lang w:eastAsia="en-US"/>
        </w:rPr>
      </w:pPr>
      <w:r>
        <w:rPr>
          <w:rFonts w:eastAsia="Times New Roman" w:cs="Times New Roman"/>
          <w:lang w:eastAsia="en-US"/>
        </w:rPr>
        <w:t>t</w:t>
      </w:r>
      <w:r w:rsidR="00264558" w:rsidRPr="00264558">
        <w:rPr>
          <w:rFonts w:eastAsia="Times New Roman" w:cs="Times New Roman"/>
          <w:lang w:eastAsia="en-US"/>
        </w:rPr>
        <w:t>he strategic marketing planning interface between the College and the University is effective and robust;</w:t>
      </w:r>
    </w:p>
    <w:p w:rsidR="00264558" w:rsidRPr="00264558" w:rsidRDefault="001C2654" w:rsidP="005776E0">
      <w:pPr>
        <w:numPr>
          <w:ilvl w:val="0"/>
          <w:numId w:val="29"/>
        </w:numPr>
        <w:spacing w:after="0" w:line="240" w:lineRule="auto"/>
        <w:ind w:left="1134" w:hanging="425"/>
        <w:jc w:val="both"/>
        <w:rPr>
          <w:rFonts w:eastAsia="Times New Roman" w:cs="Times New Roman"/>
          <w:lang w:eastAsia="en-US"/>
        </w:rPr>
      </w:pPr>
      <w:r>
        <w:rPr>
          <w:rFonts w:eastAsia="Times New Roman" w:cs="Times New Roman"/>
          <w:lang w:eastAsia="en-US"/>
        </w:rPr>
        <w:t>academic q</w:t>
      </w:r>
      <w:r w:rsidR="00264558" w:rsidRPr="00264558">
        <w:rPr>
          <w:rFonts w:eastAsia="Times New Roman" w:cs="Times New Roman"/>
          <w:lang w:eastAsia="en-US"/>
        </w:rPr>
        <w:t xml:space="preserve">uality standards are maintained in accordance with agreed benchmarks; </w:t>
      </w:r>
    </w:p>
    <w:p w:rsidR="00264558" w:rsidRPr="00264558" w:rsidRDefault="001C2654" w:rsidP="005776E0">
      <w:pPr>
        <w:numPr>
          <w:ilvl w:val="0"/>
          <w:numId w:val="29"/>
        </w:numPr>
        <w:spacing w:after="0" w:line="240" w:lineRule="auto"/>
        <w:ind w:left="1134" w:hanging="425"/>
        <w:jc w:val="both"/>
        <w:outlineLvl w:val="0"/>
        <w:rPr>
          <w:rFonts w:eastAsia="Times New Roman" w:cs="Times New Roman"/>
          <w:bCs/>
          <w:lang w:eastAsia="en-US"/>
        </w:rPr>
      </w:pPr>
      <w:r>
        <w:rPr>
          <w:rFonts w:eastAsia="Times New Roman" w:cs="Times New Roman"/>
          <w:bCs/>
          <w:lang w:eastAsia="en-US"/>
        </w:rPr>
        <w:t>r</w:t>
      </w:r>
      <w:r w:rsidR="00264558" w:rsidRPr="00264558">
        <w:rPr>
          <w:rFonts w:eastAsia="Times New Roman" w:cs="Times New Roman"/>
          <w:bCs/>
          <w:lang w:eastAsia="en-US"/>
        </w:rPr>
        <w:t>eviews of the College’s academic outcomes/student performance by the University are conducted in a consultative and inclusive manner;</w:t>
      </w:r>
    </w:p>
    <w:p w:rsidR="00264558" w:rsidRPr="00264558" w:rsidRDefault="001C2654" w:rsidP="005776E0">
      <w:pPr>
        <w:numPr>
          <w:ilvl w:val="0"/>
          <w:numId w:val="29"/>
        </w:numPr>
        <w:spacing w:after="0" w:line="240" w:lineRule="auto"/>
        <w:ind w:left="1134" w:hanging="425"/>
        <w:contextualSpacing/>
        <w:jc w:val="both"/>
        <w:rPr>
          <w:rFonts w:eastAsia="Times New Roman" w:cs="Times New Roman"/>
          <w:lang w:eastAsia="en-US"/>
        </w:rPr>
      </w:pPr>
      <w:r>
        <w:rPr>
          <w:rFonts w:eastAsia="Times New Roman" w:cs="Times New Roman"/>
          <w:lang w:eastAsia="en-US"/>
        </w:rPr>
        <w:t>e</w:t>
      </w:r>
      <w:r w:rsidR="00264558" w:rsidRPr="00264558">
        <w:rPr>
          <w:rFonts w:eastAsia="Times New Roman" w:cs="Times New Roman"/>
          <w:lang w:eastAsia="en-US"/>
        </w:rPr>
        <w:t xml:space="preserve">ffective risk management is undertaken; </w:t>
      </w:r>
    </w:p>
    <w:p w:rsidR="00264558" w:rsidRPr="00264558" w:rsidRDefault="001C2654" w:rsidP="005776E0">
      <w:pPr>
        <w:numPr>
          <w:ilvl w:val="0"/>
          <w:numId w:val="29"/>
        </w:numPr>
        <w:spacing w:after="0" w:line="240" w:lineRule="auto"/>
        <w:ind w:left="1134" w:hanging="425"/>
        <w:contextualSpacing/>
        <w:jc w:val="both"/>
        <w:rPr>
          <w:rFonts w:eastAsia="Times New Roman" w:cs="Times New Roman"/>
          <w:lang w:eastAsia="en-US"/>
        </w:rPr>
      </w:pPr>
      <w:r>
        <w:rPr>
          <w:rFonts w:eastAsia="Times New Roman" w:cs="Times New Roman"/>
          <w:lang w:eastAsia="en-US"/>
        </w:rPr>
        <w:t>a</w:t>
      </w:r>
      <w:r w:rsidR="00264558" w:rsidRPr="00264558">
        <w:rPr>
          <w:rFonts w:eastAsia="Times New Roman" w:cs="Times New Roman"/>
          <w:lang w:eastAsia="en-US"/>
        </w:rPr>
        <w:t xml:space="preserve">ny or potential internal competition in courses; fees; marketing initiatives are resolved; </w:t>
      </w:r>
    </w:p>
    <w:p w:rsidR="00264558" w:rsidRPr="00264558" w:rsidRDefault="001C2654" w:rsidP="005776E0">
      <w:pPr>
        <w:numPr>
          <w:ilvl w:val="0"/>
          <w:numId w:val="29"/>
        </w:numPr>
        <w:spacing w:after="0" w:line="240" w:lineRule="auto"/>
        <w:ind w:left="1134" w:hanging="425"/>
        <w:contextualSpacing/>
        <w:jc w:val="both"/>
        <w:rPr>
          <w:rFonts w:eastAsia="Times New Roman" w:cs="Times New Roman"/>
          <w:b/>
          <w:lang w:eastAsia="en-US"/>
        </w:rPr>
      </w:pPr>
      <w:r>
        <w:rPr>
          <w:rFonts w:eastAsia="Times New Roman" w:cs="Times New Roman"/>
          <w:lang w:eastAsia="en-US"/>
        </w:rPr>
        <w:t>a</w:t>
      </w:r>
      <w:r w:rsidR="00264558" w:rsidRPr="00264558">
        <w:rPr>
          <w:rFonts w:eastAsia="Times New Roman" w:cs="Times New Roman"/>
          <w:lang w:eastAsia="en-US"/>
        </w:rPr>
        <w:t>nnually ag</w:t>
      </w:r>
      <w:r>
        <w:rPr>
          <w:rFonts w:eastAsia="Times New Roman" w:cs="Times New Roman"/>
          <w:lang w:eastAsia="en-US"/>
        </w:rPr>
        <w:t>ree student recruitment targets; and</w:t>
      </w:r>
    </w:p>
    <w:p w:rsidR="00264558" w:rsidRPr="00264558" w:rsidRDefault="001C2654" w:rsidP="005776E0">
      <w:pPr>
        <w:numPr>
          <w:ilvl w:val="0"/>
          <w:numId w:val="29"/>
        </w:numPr>
        <w:spacing w:after="0" w:line="240" w:lineRule="auto"/>
        <w:ind w:left="1134" w:hanging="425"/>
        <w:contextualSpacing/>
        <w:jc w:val="both"/>
        <w:rPr>
          <w:rFonts w:eastAsia="Times New Roman" w:cs="Times New Roman"/>
          <w:lang w:eastAsia="en-US"/>
        </w:rPr>
      </w:pPr>
      <w:r>
        <w:rPr>
          <w:rFonts w:eastAsia="Times New Roman" w:cs="Times New Roman"/>
          <w:lang w:eastAsia="en-US"/>
        </w:rPr>
        <w:t>n</w:t>
      </w:r>
      <w:r w:rsidR="00264558" w:rsidRPr="00264558">
        <w:rPr>
          <w:rFonts w:eastAsia="Times New Roman" w:cs="Times New Roman"/>
          <w:lang w:eastAsia="en-US"/>
        </w:rPr>
        <w:t xml:space="preserve">ew pathway developments or other significant changes and implementation processes are endorsed through the appropriate University governance systems. </w:t>
      </w:r>
    </w:p>
    <w:p w:rsidR="001C2654" w:rsidRPr="001D0A67" w:rsidRDefault="001C2654" w:rsidP="001C2654">
      <w:pPr>
        <w:pStyle w:val="BodyText"/>
        <w:spacing w:line="276" w:lineRule="auto"/>
        <w:ind w:left="709"/>
        <w:rPr>
          <w:rFonts w:asciiTheme="minorHAnsi" w:hAnsiTheme="minorHAnsi" w:cstheme="minorHAnsi"/>
          <w:b w:val="0"/>
          <w:bCs/>
          <w:sz w:val="22"/>
          <w:szCs w:val="22"/>
        </w:rPr>
      </w:pPr>
    </w:p>
    <w:p w:rsidR="001D0A67" w:rsidRDefault="001D0A67" w:rsidP="00C86FED">
      <w:pPr>
        <w:autoSpaceDE w:val="0"/>
        <w:autoSpaceDN w:val="0"/>
        <w:adjustRightInd w:val="0"/>
        <w:spacing w:after="0" w:line="240" w:lineRule="auto"/>
        <w:ind w:left="709"/>
        <w:jc w:val="both"/>
        <w:outlineLvl w:val="1"/>
        <w:rPr>
          <w:rFonts w:eastAsia="Times New Roman" w:cs="Helvetica"/>
          <w:lang w:eastAsia="en-US"/>
        </w:rPr>
      </w:pPr>
      <w:r>
        <w:rPr>
          <w:rFonts w:eastAsia="Times New Roman" w:cs="Helvetica"/>
          <w:lang w:eastAsia="en-US"/>
        </w:rPr>
        <w:t>The JSPMB will meet twice</w:t>
      </w:r>
      <w:r w:rsidRPr="001D0A67">
        <w:rPr>
          <w:rFonts w:eastAsia="Times New Roman" w:cs="Helvetica"/>
          <w:lang w:eastAsia="en-US"/>
        </w:rPr>
        <w:t xml:space="preserve"> each year</w:t>
      </w:r>
      <w:r>
        <w:rPr>
          <w:rFonts w:eastAsia="Times New Roman" w:cs="Helvetica"/>
          <w:lang w:eastAsia="en-US"/>
        </w:rPr>
        <w:t>,</w:t>
      </w:r>
      <w:r w:rsidRPr="001D0A67">
        <w:rPr>
          <w:rFonts w:eastAsia="Times New Roman" w:cs="Helvetica"/>
          <w:lang w:eastAsia="en-US"/>
        </w:rPr>
        <w:t xml:space="preserve"> once between January and June and once between July and December in each calendar year.</w:t>
      </w:r>
      <w:r w:rsidR="00C86FED">
        <w:rPr>
          <w:rFonts w:eastAsia="Times New Roman" w:cs="Helvetica"/>
          <w:lang w:eastAsia="en-US"/>
        </w:rPr>
        <w:t xml:space="preserve">  </w:t>
      </w:r>
      <w:r w:rsidRPr="001D0A67">
        <w:rPr>
          <w:rFonts w:eastAsia="Times New Roman" w:cs="Helvetica"/>
          <w:lang w:eastAsia="en-US"/>
        </w:rPr>
        <w:t>The College will provide re</w:t>
      </w:r>
      <w:r w:rsidR="00C86FED">
        <w:rPr>
          <w:rFonts w:eastAsia="Times New Roman" w:cs="Helvetica"/>
          <w:lang w:eastAsia="en-US"/>
        </w:rPr>
        <w:t>ports to each meeting from the:</w:t>
      </w:r>
    </w:p>
    <w:p w:rsidR="00C70EDD" w:rsidRPr="001D0A67" w:rsidRDefault="00C70EDD" w:rsidP="00C86FED">
      <w:pPr>
        <w:autoSpaceDE w:val="0"/>
        <w:autoSpaceDN w:val="0"/>
        <w:adjustRightInd w:val="0"/>
        <w:spacing w:after="0" w:line="240" w:lineRule="auto"/>
        <w:ind w:left="709"/>
        <w:jc w:val="both"/>
        <w:outlineLvl w:val="1"/>
        <w:rPr>
          <w:rFonts w:eastAsia="Times New Roman" w:cs="Helvetica"/>
          <w:lang w:eastAsia="en-US"/>
        </w:rPr>
      </w:pPr>
    </w:p>
    <w:p w:rsidR="001D0A67" w:rsidRPr="001D0A67" w:rsidRDefault="00C86FED" w:rsidP="005776E0">
      <w:pPr>
        <w:numPr>
          <w:ilvl w:val="0"/>
          <w:numId w:val="30"/>
        </w:numPr>
        <w:autoSpaceDE w:val="0"/>
        <w:autoSpaceDN w:val="0"/>
        <w:adjustRightInd w:val="0"/>
        <w:spacing w:before="240" w:after="0" w:line="240" w:lineRule="auto"/>
        <w:ind w:left="1134" w:hanging="425"/>
        <w:contextualSpacing/>
        <w:jc w:val="both"/>
        <w:rPr>
          <w:rFonts w:eastAsia="Times New Roman" w:cs="Helvetica"/>
          <w:lang w:eastAsia="en-US"/>
        </w:rPr>
      </w:pPr>
      <w:r>
        <w:rPr>
          <w:rFonts w:eastAsia="Times New Roman" w:cs="Helvetica"/>
          <w:lang w:eastAsia="en-US"/>
        </w:rPr>
        <w:t>Senior Academic Manager</w:t>
      </w:r>
      <w:r w:rsidR="001D0A67" w:rsidRPr="001D0A67">
        <w:rPr>
          <w:rFonts w:eastAsia="Times New Roman" w:cs="Helvetica"/>
          <w:lang w:eastAsia="en-US"/>
        </w:rPr>
        <w:t xml:space="preserve"> on the overall progress of the College over the previous semester</w:t>
      </w:r>
      <w:r>
        <w:rPr>
          <w:rFonts w:eastAsia="Times New Roman" w:cs="Helvetica"/>
          <w:lang w:eastAsia="en-US"/>
        </w:rPr>
        <w:t>(s)</w:t>
      </w:r>
      <w:r w:rsidR="001D0A67" w:rsidRPr="001D0A67">
        <w:rPr>
          <w:rFonts w:eastAsia="Times New Roman" w:cs="Helvetica"/>
          <w:lang w:eastAsia="en-US"/>
        </w:rPr>
        <w:t xml:space="preserve"> </w:t>
      </w:r>
      <w:r>
        <w:rPr>
          <w:rFonts w:eastAsia="Times New Roman" w:cs="Helvetica"/>
          <w:lang w:eastAsia="en-US"/>
        </w:rPr>
        <w:t xml:space="preserve">including </w:t>
      </w:r>
      <w:r w:rsidR="001D0A67" w:rsidRPr="001D0A67">
        <w:rPr>
          <w:rFonts w:eastAsia="Times New Roman" w:cs="Helvetica"/>
          <w:lang w:eastAsia="en-US"/>
        </w:rPr>
        <w:t>academic outcomes as evidenced in student results</w:t>
      </w:r>
      <w:r>
        <w:rPr>
          <w:rFonts w:eastAsia="Times New Roman" w:cs="Helvetica"/>
          <w:lang w:eastAsia="en-US"/>
        </w:rPr>
        <w:t xml:space="preserve">, </w:t>
      </w:r>
      <w:r w:rsidR="001D0A67" w:rsidRPr="001D0A67">
        <w:rPr>
          <w:rFonts w:eastAsia="Times New Roman" w:cs="Helvetica"/>
          <w:lang w:eastAsia="en-US"/>
        </w:rPr>
        <w:t>progression potential for the University</w:t>
      </w:r>
      <w:r>
        <w:rPr>
          <w:rFonts w:eastAsia="Times New Roman" w:cs="Helvetica"/>
          <w:lang w:eastAsia="en-US"/>
        </w:rPr>
        <w:t>,</w:t>
      </w:r>
      <w:r w:rsidR="001D0A67" w:rsidRPr="001D0A67">
        <w:rPr>
          <w:rFonts w:eastAsia="Times New Roman" w:cs="Helvetica"/>
          <w:lang w:eastAsia="en-US"/>
        </w:rPr>
        <w:t xml:space="preserve"> and gen</w:t>
      </w:r>
      <w:r>
        <w:rPr>
          <w:rFonts w:eastAsia="Times New Roman" w:cs="Helvetica"/>
          <w:lang w:eastAsia="en-US"/>
        </w:rPr>
        <w:t>eral quality management issues;</w:t>
      </w:r>
    </w:p>
    <w:p w:rsidR="001D0A67" w:rsidRPr="001D0A67" w:rsidRDefault="00C86FED" w:rsidP="005776E0">
      <w:pPr>
        <w:numPr>
          <w:ilvl w:val="0"/>
          <w:numId w:val="30"/>
        </w:numPr>
        <w:autoSpaceDE w:val="0"/>
        <w:autoSpaceDN w:val="0"/>
        <w:adjustRightInd w:val="0"/>
        <w:spacing w:before="240" w:after="0" w:line="240" w:lineRule="auto"/>
        <w:ind w:left="1134" w:hanging="425"/>
        <w:contextualSpacing/>
        <w:jc w:val="both"/>
        <w:rPr>
          <w:rFonts w:eastAsia="Times New Roman" w:cs="Helvetica"/>
          <w:lang w:eastAsia="en-US"/>
        </w:rPr>
      </w:pPr>
      <w:r>
        <w:rPr>
          <w:rFonts w:eastAsia="Times New Roman" w:cs="Helvetica"/>
          <w:lang w:eastAsia="en-US"/>
        </w:rPr>
        <w:t>Director of Marketing</w:t>
      </w:r>
      <w:r w:rsidR="001D0A67" w:rsidRPr="001D0A67">
        <w:rPr>
          <w:rFonts w:eastAsia="Times New Roman" w:cs="Helvetica"/>
          <w:lang w:eastAsia="en-US"/>
        </w:rPr>
        <w:t xml:space="preserve"> on the progress of the marketing process within the College and the interface between the College’s marketing process and that the University, particularly the International Office.</w:t>
      </w:r>
    </w:p>
    <w:p w:rsidR="001D0A67" w:rsidRPr="001D0A67" w:rsidRDefault="001D0A67" w:rsidP="00C86FED">
      <w:pPr>
        <w:autoSpaceDE w:val="0"/>
        <w:autoSpaceDN w:val="0"/>
        <w:adjustRightInd w:val="0"/>
        <w:spacing w:after="0" w:line="240" w:lineRule="auto"/>
        <w:ind w:left="993" w:hanging="284"/>
        <w:jc w:val="both"/>
        <w:rPr>
          <w:rFonts w:eastAsia="Times New Roman" w:cs="Helvetica"/>
          <w:lang w:eastAsia="en-US"/>
        </w:rPr>
      </w:pPr>
    </w:p>
    <w:p w:rsidR="001D0A67" w:rsidRDefault="001D0A67" w:rsidP="001D0A67">
      <w:pPr>
        <w:autoSpaceDE w:val="0"/>
        <w:autoSpaceDN w:val="0"/>
        <w:adjustRightInd w:val="0"/>
        <w:spacing w:after="0" w:line="240" w:lineRule="auto"/>
        <w:ind w:left="709"/>
        <w:jc w:val="both"/>
        <w:rPr>
          <w:rFonts w:eastAsia="Times New Roman" w:cs="Helvetica"/>
          <w:lang w:eastAsia="en-US"/>
        </w:rPr>
      </w:pPr>
      <w:r w:rsidRPr="001D0A67">
        <w:rPr>
          <w:rFonts w:eastAsia="Times New Roman" w:cs="Helvetica"/>
          <w:lang w:eastAsia="en-US"/>
        </w:rPr>
        <w:t>The College Director/Principal will provide to the final meeting of each year a comprehensive report on the College and its activities for that calendar year.</w:t>
      </w:r>
    </w:p>
    <w:p w:rsidR="001D0A67" w:rsidRPr="001D0A67" w:rsidRDefault="001D0A67" w:rsidP="00C86FED">
      <w:pPr>
        <w:autoSpaceDE w:val="0"/>
        <w:autoSpaceDN w:val="0"/>
        <w:adjustRightInd w:val="0"/>
        <w:spacing w:before="240" w:after="0" w:line="240" w:lineRule="auto"/>
        <w:ind w:left="709"/>
        <w:contextualSpacing/>
        <w:jc w:val="both"/>
        <w:rPr>
          <w:rFonts w:eastAsia="Times New Roman" w:cs="Helvetica"/>
          <w:lang w:eastAsia="en-US"/>
        </w:rPr>
      </w:pPr>
    </w:p>
    <w:p w:rsidR="001D0A67" w:rsidRDefault="001D0A67" w:rsidP="00C86FED">
      <w:pPr>
        <w:autoSpaceDE w:val="0"/>
        <w:autoSpaceDN w:val="0"/>
        <w:adjustRightInd w:val="0"/>
        <w:spacing w:before="240" w:after="0" w:line="240" w:lineRule="auto"/>
        <w:ind w:left="709"/>
        <w:contextualSpacing/>
        <w:jc w:val="both"/>
        <w:rPr>
          <w:rFonts w:eastAsia="Times New Roman" w:cs="Helvetica"/>
          <w:lang w:eastAsia="en-US"/>
        </w:rPr>
      </w:pPr>
      <w:r w:rsidRPr="001D0A67">
        <w:rPr>
          <w:rFonts w:eastAsia="Times New Roman" w:cs="Helvetica"/>
          <w:lang w:eastAsia="en-US"/>
        </w:rPr>
        <w:t>The University will provide reports/updates to each meeting on:</w:t>
      </w:r>
    </w:p>
    <w:p w:rsidR="00C70EDD" w:rsidRPr="001D0A67" w:rsidRDefault="00C70EDD" w:rsidP="00C86FED">
      <w:pPr>
        <w:autoSpaceDE w:val="0"/>
        <w:autoSpaceDN w:val="0"/>
        <w:adjustRightInd w:val="0"/>
        <w:spacing w:before="240" w:after="0" w:line="240" w:lineRule="auto"/>
        <w:ind w:left="709"/>
        <w:contextualSpacing/>
        <w:jc w:val="both"/>
        <w:rPr>
          <w:rFonts w:eastAsia="Times New Roman" w:cs="Helvetica"/>
          <w:lang w:eastAsia="en-US"/>
        </w:rPr>
      </w:pPr>
    </w:p>
    <w:p w:rsidR="001D0A67" w:rsidRPr="001D0A67" w:rsidRDefault="001D0A67" w:rsidP="005776E0">
      <w:pPr>
        <w:numPr>
          <w:ilvl w:val="0"/>
          <w:numId w:val="31"/>
        </w:numPr>
        <w:autoSpaceDE w:val="0"/>
        <w:autoSpaceDN w:val="0"/>
        <w:adjustRightInd w:val="0"/>
        <w:spacing w:before="240" w:after="0" w:line="240" w:lineRule="auto"/>
        <w:ind w:left="1134" w:hanging="425"/>
        <w:contextualSpacing/>
        <w:jc w:val="both"/>
        <w:rPr>
          <w:rFonts w:eastAsia="Times New Roman" w:cs="Helvetica"/>
          <w:lang w:eastAsia="en-US"/>
        </w:rPr>
      </w:pPr>
      <w:r w:rsidRPr="001D0A67">
        <w:rPr>
          <w:rFonts w:eastAsia="Times New Roman" w:cs="Helvetica"/>
          <w:lang w:eastAsia="en-US"/>
        </w:rPr>
        <w:t>Changes or proposed changes to the academic structure of the University;</w:t>
      </w:r>
    </w:p>
    <w:p w:rsidR="001D0A67" w:rsidRPr="001D0A67" w:rsidRDefault="001D0A67" w:rsidP="005776E0">
      <w:pPr>
        <w:numPr>
          <w:ilvl w:val="0"/>
          <w:numId w:val="31"/>
        </w:numPr>
        <w:autoSpaceDE w:val="0"/>
        <w:autoSpaceDN w:val="0"/>
        <w:adjustRightInd w:val="0"/>
        <w:spacing w:before="240" w:after="0" w:line="240" w:lineRule="auto"/>
        <w:ind w:left="1134" w:hanging="425"/>
        <w:contextualSpacing/>
        <w:jc w:val="both"/>
        <w:rPr>
          <w:rFonts w:eastAsia="Times New Roman" w:cs="Helvetica"/>
          <w:lang w:eastAsia="en-US"/>
        </w:rPr>
      </w:pPr>
      <w:r w:rsidRPr="001D0A67">
        <w:rPr>
          <w:rFonts w:eastAsia="Times New Roman" w:cs="Helvetica"/>
          <w:lang w:eastAsia="en-US"/>
        </w:rPr>
        <w:lastRenderedPageBreak/>
        <w:t xml:space="preserve">Changes within degree programmes that could impact on the academic framework of the College; </w:t>
      </w:r>
    </w:p>
    <w:p w:rsidR="001D0A67" w:rsidRPr="001D0A67" w:rsidRDefault="001D0A67" w:rsidP="005776E0">
      <w:pPr>
        <w:numPr>
          <w:ilvl w:val="0"/>
          <w:numId w:val="31"/>
        </w:numPr>
        <w:autoSpaceDE w:val="0"/>
        <w:autoSpaceDN w:val="0"/>
        <w:adjustRightInd w:val="0"/>
        <w:spacing w:before="240" w:after="0" w:line="240" w:lineRule="auto"/>
        <w:ind w:left="1134" w:hanging="425"/>
        <w:contextualSpacing/>
        <w:jc w:val="both"/>
        <w:rPr>
          <w:rFonts w:eastAsia="Times New Roman" w:cs="Helvetica"/>
          <w:lang w:eastAsia="en-US"/>
        </w:rPr>
      </w:pPr>
      <w:r w:rsidRPr="001D0A67">
        <w:rPr>
          <w:rFonts w:eastAsia="Times New Roman" w:cs="Helvetica"/>
          <w:lang w:eastAsia="en-US"/>
        </w:rPr>
        <w:t>Changes to Universi</w:t>
      </w:r>
      <w:r w:rsidR="00C86FED">
        <w:rPr>
          <w:rFonts w:eastAsia="Times New Roman" w:cs="Helvetica"/>
          <w:lang w:eastAsia="en-US"/>
        </w:rPr>
        <w:t>ty policies and regulations</w:t>
      </w:r>
      <w:r w:rsidRPr="001D0A67">
        <w:rPr>
          <w:rFonts w:eastAsia="Times New Roman" w:cs="Helvetica"/>
          <w:lang w:eastAsia="en-US"/>
        </w:rPr>
        <w:t xml:space="preserve"> that could impact on the operation of the College.</w:t>
      </w:r>
    </w:p>
    <w:p w:rsidR="001D0A67" w:rsidRPr="001D0A67" w:rsidRDefault="001D0A67" w:rsidP="00C86FED">
      <w:pPr>
        <w:autoSpaceDE w:val="0"/>
        <w:autoSpaceDN w:val="0"/>
        <w:adjustRightInd w:val="0"/>
        <w:spacing w:after="0" w:line="240" w:lineRule="auto"/>
        <w:ind w:left="709"/>
        <w:jc w:val="both"/>
        <w:rPr>
          <w:rFonts w:eastAsia="Times New Roman" w:cs="Helvetica"/>
          <w:lang w:eastAsia="en-US"/>
        </w:rPr>
      </w:pPr>
    </w:p>
    <w:p w:rsidR="001D0A67" w:rsidRDefault="001D0A67" w:rsidP="00C86FED">
      <w:pPr>
        <w:autoSpaceDE w:val="0"/>
        <w:autoSpaceDN w:val="0"/>
        <w:adjustRightInd w:val="0"/>
        <w:spacing w:after="0" w:line="240" w:lineRule="auto"/>
        <w:ind w:left="709"/>
        <w:jc w:val="both"/>
        <w:rPr>
          <w:rFonts w:eastAsia="Times New Roman" w:cs="Helvetica"/>
          <w:lang w:eastAsia="en-US"/>
        </w:rPr>
      </w:pPr>
      <w:r w:rsidRPr="001D0A67">
        <w:rPr>
          <w:rFonts w:eastAsia="Times New Roman" w:cs="Helvetica"/>
          <w:lang w:eastAsia="en-US"/>
        </w:rPr>
        <w:t>The University will provide to the final meeting of each year a comprehensive report on planned changes in the direction of the University’s strategic marketing and positioning plan or process.</w:t>
      </w:r>
    </w:p>
    <w:p w:rsidR="00C86FED" w:rsidRPr="001D0A67" w:rsidRDefault="00C86FED" w:rsidP="00C86FED">
      <w:pPr>
        <w:autoSpaceDE w:val="0"/>
        <w:autoSpaceDN w:val="0"/>
        <w:adjustRightInd w:val="0"/>
        <w:spacing w:after="0" w:line="240" w:lineRule="auto"/>
        <w:ind w:left="709"/>
        <w:jc w:val="both"/>
        <w:rPr>
          <w:rFonts w:eastAsia="Times New Roman" w:cs="Helvetica"/>
          <w:lang w:eastAsia="en-US"/>
        </w:rPr>
      </w:pPr>
    </w:p>
    <w:p w:rsidR="00264558" w:rsidRDefault="0031483F" w:rsidP="001C2654">
      <w:pPr>
        <w:pStyle w:val="BodyText"/>
        <w:spacing w:line="276" w:lineRule="auto"/>
        <w:ind w:left="709"/>
        <w:rPr>
          <w:rFonts w:asciiTheme="minorHAnsi" w:hAnsiTheme="minorHAnsi"/>
          <w:b w:val="0"/>
          <w:bCs/>
          <w:sz w:val="22"/>
          <w:szCs w:val="22"/>
          <w:lang w:eastAsia="en-US"/>
        </w:rPr>
      </w:pPr>
      <w:r w:rsidRPr="007F65AE">
        <w:rPr>
          <w:rFonts w:asciiTheme="minorHAnsi" w:hAnsiTheme="minorHAnsi" w:cstheme="minorHAnsi"/>
          <w:b w:val="0"/>
          <w:bCs/>
          <w:sz w:val="22"/>
          <w:szCs w:val="22"/>
        </w:rPr>
        <w:t xml:space="preserve">The membership is drawn from the College Senior Management Team and senior representatives of the </w:t>
      </w:r>
      <w:r w:rsidR="007F65AE">
        <w:rPr>
          <w:rFonts w:asciiTheme="minorHAnsi" w:hAnsiTheme="minorHAnsi" w:cstheme="minorHAnsi"/>
          <w:b w:val="0"/>
          <w:bCs/>
          <w:sz w:val="22"/>
          <w:szCs w:val="22"/>
        </w:rPr>
        <w:t>Partner U</w:t>
      </w:r>
      <w:r w:rsidRPr="007F65AE">
        <w:rPr>
          <w:rFonts w:asciiTheme="minorHAnsi" w:hAnsiTheme="minorHAnsi" w:cstheme="minorHAnsi"/>
          <w:b w:val="0"/>
          <w:bCs/>
          <w:sz w:val="22"/>
          <w:szCs w:val="22"/>
        </w:rPr>
        <w:t>niversity</w:t>
      </w:r>
      <w:r w:rsidR="007F65AE">
        <w:rPr>
          <w:rFonts w:asciiTheme="minorHAnsi" w:hAnsiTheme="minorHAnsi" w:cstheme="minorHAnsi"/>
          <w:b w:val="0"/>
          <w:bCs/>
          <w:sz w:val="22"/>
          <w:szCs w:val="22"/>
        </w:rPr>
        <w:t xml:space="preserve">.  The JSPMB is chaired by a senior representative of the University, normally the relevant Pro-Vice Chancellor.  </w:t>
      </w:r>
      <w:r w:rsidRPr="007F65AE">
        <w:rPr>
          <w:rFonts w:asciiTheme="minorHAnsi" w:hAnsiTheme="minorHAnsi" w:cstheme="minorHAnsi"/>
          <w:b w:val="0"/>
          <w:bCs/>
          <w:sz w:val="22"/>
          <w:szCs w:val="22"/>
        </w:rPr>
        <w:t>The JSPMB forms part of the Recognition and Articulation Agreement (RAA) between the College and partner University, where the details of membership may be found.</w:t>
      </w:r>
      <w:r w:rsidR="00264558" w:rsidRPr="00264558">
        <w:rPr>
          <w:rFonts w:ascii="Times New Roman" w:hAnsi="Times New Roman"/>
          <w:bCs/>
          <w:sz w:val="24"/>
          <w:szCs w:val="24"/>
          <w:lang w:eastAsia="en-US"/>
        </w:rPr>
        <w:t xml:space="preserve"> </w:t>
      </w:r>
      <w:r w:rsidR="00264558">
        <w:rPr>
          <w:rFonts w:asciiTheme="minorHAnsi" w:hAnsiTheme="minorHAnsi"/>
          <w:b w:val="0"/>
          <w:bCs/>
          <w:sz w:val="22"/>
          <w:szCs w:val="22"/>
          <w:lang w:eastAsia="en-US"/>
        </w:rPr>
        <w:t xml:space="preserve">  </w:t>
      </w:r>
    </w:p>
    <w:p w:rsidR="00264558" w:rsidRPr="00264558" w:rsidRDefault="00264558" w:rsidP="001C2654">
      <w:pPr>
        <w:autoSpaceDE w:val="0"/>
        <w:autoSpaceDN w:val="0"/>
        <w:adjustRightInd w:val="0"/>
        <w:spacing w:after="0" w:line="240" w:lineRule="auto"/>
        <w:ind w:left="709"/>
        <w:jc w:val="both"/>
        <w:rPr>
          <w:rFonts w:ascii="Times New Roman" w:eastAsia="Times New Roman" w:hAnsi="Times New Roman" w:cs="Times New Roman"/>
          <w:b/>
          <w:sz w:val="24"/>
          <w:szCs w:val="24"/>
          <w:lang w:eastAsia="en-US"/>
        </w:rPr>
      </w:pPr>
    </w:p>
    <w:p w:rsidR="002E34A2" w:rsidRPr="007F65AE" w:rsidRDefault="007F65AE" w:rsidP="0031483F">
      <w:pPr>
        <w:spacing w:after="0" w:line="240" w:lineRule="auto"/>
        <w:ind w:left="709"/>
        <w:jc w:val="both"/>
        <w:rPr>
          <w:rFonts w:cstheme="minorHAnsi"/>
        </w:rPr>
      </w:pPr>
      <w:r w:rsidRPr="007F65AE">
        <w:rPr>
          <w:rFonts w:cstheme="minorHAnsi"/>
          <w:bCs/>
        </w:rPr>
        <w:t xml:space="preserve">The JSPMB has three sub-committees which focus on Academic, Operational and Marketing issues.  </w:t>
      </w:r>
    </w:p>
    <w:p w:rsidR="004B5830" w:rsidRDefault="004B5830" w:rsidP="004B5830">
      <w:pPr>
        <w:spacing w:after="0" w:line="240" w:lineRule="auto"/>
        <w:ind w:left="709" w:hanging="709"/>
        <w:jc w:val="both"/>
        <w:rPr>
          <w:rFonts w:cstheme="minorHAnsi"/>
        </w:rPr>
      </w:pPr>
    </w:p>
    <w:p w:rsidR="004B5830" w:rsidRDefault="00D603C7" w:rsidP="00A30177">
      <w:pPr>
        <w:spacing w:after="0" w:line="240" w:lineRule="auto"/>
        <w:ind w:left="720" w:hanging="720"/>
        <w:jc w:val="both"/>
      </w:pPr>
      <w:r>
        <w:t>5.1</w:t>
      </w:r>
      <w:r w:rsidR="004B5830">
        <w:t>.2</w:t>
      </w:r>
      <w:r w:rsidR="004B5830">
        <w:tab/>
      </w:r>
      <w:r w:rsidR="004B5830" w:rsidRPr="00FF337D">
        <w:rPr>
          <w:u w:val="single"/>
        </w:rPr>
        <w:t>Academic Advisory Committee (AAC)</w:t>
      </w:r>
    </w:p>
    <w:p w:rsidR="009F7B7D" w:rsidRPr="00C86FED" w:rsidRDefault="004B5830" w:rsidP="009F7B7D">
      <w:pPr>
        <w:spacing w:after="0" w:line="240" w:lineRule="auto"/>
        <w:ind w:left="709"/>
        <w:jc w:val="both"/>
        <w:rPr>
          <w:rFonts w:eastAsia="Times New Roman" w:cs="Times New Roman"/>
          <w:lang w:eastAsia="en-US"/>
        </w:rPr>
      </w:pPr>
      <w:r>
        <w:t xml:space="preserve">The </w:t>
      </w:r>
      <w:r w:rsidR="00C86FED" w:rsidRPr="00C86FED">
        <w:rPr>
          <w:rFonts w:eastAsia="Times New Roman" w:cs="Times New Roman"/>
          <w:lang w:eastAsia="en-US"/>
        </w:rPr>
        <w:t xml:space="preserve">purpose </w:t>
      </w:r>
      <w:r w:rsidR="00C86FED">
        <w:rPr>
          <w:rFonts w:eastAsia="Times New Roman" w:cs="Times New Roman"/>
          <w:lang w:eastAsia="en-US"/>
        </w:rPr>
        <w:t xml:space="preserve">of the </w:t>
      </w:r>
      <w:r>
        <w:t xml:space="preserve">AAC </w:t>
      </w:r>
      <w:r w:rsidR="00C86FED" w:rsidRPr="00C86FED">
        <w:rPr>
          <w:rFonts w:eastAsia="Times New Roman" w:cs="Times New Roman"/>
          <w:lang w:eastAsia="en-US"/>
        </w:rPr>
        <w:t>is t</w:t>
      </w:r>
      <w:r w:rsidR="00C86FED" w:rsidRPr="00C86FED">
        <w:rPr>
          <w:rFonts w:eastAsia="ArialUnicodeMS" w:cs="ArialUnicodeMS"/>
          <w:color w:val="000000"/>
          <w:lang w:eastAsia="en-US"/>
        </w:rPr>
        <w:t>o oversee academic matters and support the quality assurance and enhancement of programmes on behalf</w:t>
      </w:r>
      <w:r w:rsidR="00C86FED">
        <w:rPr>
          <w:rFonts w:eastAsia="ArialUnicodeMS" w:cs="ArialUnicodeMS"/>
          <w:color w:val="000000"/>
          <w:lang w:eastAsia="en-US"/>
        </w:rPr>
        <w:t xml:space="preserve"> of the JSPMB. </w:t>
      </w:r>
      <w:r w:rsidR="00C86FED" w:rsidRPr="00D608EB">
        <w:rPr>
          <w:rFonts w:eastAsia="Times New Roman" w:cs="Arial"/>
          <w:lang w:val="en-AU" w:eastAsia="en-AU"/>
        </w:rPr>
        <w:t xml:space="preserve"> </w:t>
      </w:r>
      <w:r w:rsidR="00FF337D" w:rsidRPr="00C86FED">
        <w:rPr>
          <w:rFonts w:eastAsia="Times New Roman" w:cs="Times New Roman"/>
          <w:bCs/>
          <w:lang w:eastAsia="en-US"/>
        </w:rPr>
        <w:t>The AAC is responsible for reviewing the effectiveness of the academic environment of the College.</w:t>
      </w:r>
      <w:r w:rsidR="009F7B7D" w:rsidRPr="009F7B7D">
        <w:rPr>
          <w:rFonts w:eastAsia="Times New Roman" w:cs="Times New Roman"/>
          <w:lang w:eastAsia="en-US"/>
        </w:rPr>
        <w:t xml:space="preserve"> </w:t>
      </w:r>
      <w:r w:rsidR="009F7B7D">
        <w:rPr>
          <w:rFonts w:eastAsia="Times New Roman" w:cs="Times New Roman"/>
          <w:lang w:eastAsia="en-US"/>
        </w:rPr>
        <w:t xml:space="preserve"> Specifically the </w:t>
      </w:r>
      <w:r w:rsidR="009F7B7D" w:rsidRPr="00C86FED">
        <w:rPr>
          <w:rFonts w:eastAsia="Times New Roman" w:cs="Times New Roman"/>
          <w:lang w:eastAsia="en-US"/>
        </w:rPr>
        <w:t>role of the AAC is to ensure that:</w:t>
      </w:r>
    </w:p>
    <w:p w:rsidR="009F7B7D" w:rsidRDefault="009F7B7D" w:rsidP="005776E0">
      <w:pPr>
        <w:numPr>
          <w:ilvl w:val="0"/>
          <w:numId w:val="32"/>
        </w:numPr>
        <w:spacing w:after="0" w:line="240" w:lineRule="auto"/>
        <w:jc w:val="both"/>
        <w:rPr>
          <w:rFonts w:eastAsia="Times New Roman" w:cs="Times New Roman"/>
          <w:lang w:eastAsia="en-US"/>
        </w:rPr>
      </w:pPr>
      <w:r>
        <w:rPr>
          <w:rFonts w:eastAsia="Times New Roman" w:cs="Times New Roman"/>
          <w:lang w:eastAsia="en-US"/>
        </w:rPr>
        <w:t>a</w:t>
      </w:r>
      <w:r w:rsidRPr="00C86FED">
        <w:rPr>
          <w:rFonts w:eastAsia="Times New Roman" w:cs="Times New Roman"/>
          <w:lang w:eastAsia="en-US"/>
        </w:rPr>
        <w:t xml:space="preserve">cademic standards are maintained in accordance with </w:t>
      </w:r>
      <w:r>
        <w:rPr>
          <w:rFonts w:eastAsia="Times New Roman" w:cs="Times New Roman"/>
          <w:lang w:eastAsia="en-US"/>
        </w:rPr>
        <w:t xml:space="preserve">course/programme </w:t>
      </w:r>
      <w:r w:rsidRPr="00C86FED">
        <w:rPr>
          <w:rFonts w:eastAsia="Times New Roman" w:cs="Times New Roman"/>
          <w:lang w:eastAsia="en-US"/>
        </w:rPr>
        <w:t>specifications and definitive module descriptions</w:t>
      </w:r>
      <w:r>
        <w:rPr>
          <w:rFonts w:eastAsia="Times New Roman" w:cs="Times New Roman"/>
          <w:lang w:eastAsia="en-US"/>
        </w:rPr>
        <w:t>;</w:t>
      </w:r>
    </w:p>
    <w:p w:rsidR="009F7B7D" w:rsidRPr="00C86FED" w:rsidRDefault="009F7B7D" w:rsidP="005776E0">
      <w:pPr>
        <w:numPr>
          <w:ilvl w:val="0"/>
          <w:numId w:val="32"/>
        </w:numPr>
        <w:spacing w:after="0" w:line="240" w:lineRule="auto"/>
        <w:jc w:val="both"/>
        <w:rPr>
          <w:rFonts w:eastAsia="Times New Roman" w:cs="Times New Roman"/>
          <w:lang w:eastAsia="en-US"/>
        </w:rPr>
      </w:pPr>
      <w:r>
        <w:rPr>
          <w:rFonts w:eastAsia="Times New Roman" w:cs="Times New Roman"/>
          <w:lang w:eastAsia="en-US"/>
        </w:rPr>
        <w:t>the transfer of s</w:t>
      </w:r>
      <w:r w:rsidRPr="00C86FED">
        <w:rPr>
          <w:rFonts w:eastAsia="Times New Roman" w:cs="Times New Roman"/>
          <w:lang w:eastAsia="en-US"/>
        </w:rPr>
        <w:t>tudents from the College to the appropriate level within the University is seamless and ‘user friendly’;</w:t>
      </w:r>
    </w:p>
    <w:p w:rsidR="009F7B7D" w:rsidRPr="00C86FED" w:rsidRDefault="009F7B7D" w:rsidP="005776E0">
      <w:pPr>
        <w:numPr>
          <w:ilvl w:val="0"/>
          <w:numId w:val="32"/>
        </w:numPr>
        <w:spacing w:after="0" w:line="240" w:lineRule="auto"/>
        <w:jc w:val="both"/>
        <w:rPr>
          <w:rFonts w:eastAsia="Times New Roman" w:cs="Times New Roman"/>
          <w:lang w:eastAsia="en-US"/>
        </w:rPr>
      </w:pPr>
      <w:r>
        <w:rPr>
          <w:rFonts w:eastAsia="Times New Roman" w:cs="Times New Roman"/>
          <w:lang w:eastAsia="en-US"/>
        </w:rPr>
        <w:t>m</w:t>
      </w:r>
      <w:r w:rsidRPr="00C86FED">
        <w:rPr>
          <w:rFonts w:eastAsia="Times New Roman" w:cs="Times New Roman"/>
          <w:lang w:eastAsia="en-US"/>
        </w:rPr>
        <w:t xml:space="preserve">oderation and assessment procedures are consistent with both the College’s and the University’s expectations and in line with the </w:t>
      </w:r>
      <w:r>
        <w:rPr>
          <w:rFonts w:eastAsia="Times New Roman" w:cs="Times New Roman"/>
          <w:lang w:eastAsia="en-US"/>
        </w:rPr>
        <w:t>Quality Code</w:t>
      </w:r>
      <w:r w:rsidRPr="00C86FED">
        <w:rPr>
          <w:rFonts w:eastAsia="Times New Roman" w:cs="Times New Roman"/>
          <w:lang w:eastAsia="en-US"/>
        </w:rPr>
        <w:t>;</w:t>
      </w:r>
    </w:p>
    <w:p w:rsidR="009F7B7D" w:rsidRPr="00C86FED" w:rsidRDefault="009F7B7D" w:rsidP="005776E0">
      <w:pPr>
        <w:numPr>
          <w:ilvl w:val="0"/>
          <w:numId w:val="32"/>
        </w:numPr>
        <w:spacing w:after="0" w:line="240" w:lineRule="auto"/>
        <w:jc w:val="both"/>
        <w:rPr>
          <w:rFonts w:eastAsia="Times New Roman" w:cs="Times New Roman"/>
          <w:lang w:eastAsia="en-US"/>
        </w:rPr>
      </w:pPr>
      <w:r>
        <w:rPr>
          <w:rFonts w:eastAsia="Times New Roman" w:cs="Times New Roman"/>
          <w:lang w:eastAsia="en-US"/>
        </w:rPr>
        <w:t>l</w:t>
      </w:r>
      <w:r w:rsidRPr="00C86FED">
        <w:rPr>
          <w:rFonts w:eastAsia="Times New Roman" w:cs="Times New Roman"/>
          <w:lang w:eastAsia="en-US"/>
        </w:rPr>
        <w:t>ibrary access and teaching/learning facilities remain appropriate to a higher education programme of study;</w:t>
      </w:r>
    </w:p>
    <w:p w:rsidR="009F7B7D" w:rsidRPr="00C86FED" w:rsidRDefault="009F7B7D" w:rsidP="005776E0">
      <w:pPr>
        <w:numPr>
          <w:ilvl w:val="0"/>
          <w:numId w:val="32"/>
        </w:numPr>
        <w:spacing w:after="0" w:line="240" w:lineRule="auto"/>
        <w:jc w:val="both"/>
        <w:rPr>
          <w:rFonts w:eastAsia="Times New Roman" w:cs="Times New Roman"/>
          <w:lang w:eastAsia="en-US"/>
        </w:rPr>
      </w:pPr>
      <w:r>
        <w:rPr>
          <w:rFonts w:eastAsia="Times New Roman" w:cs="Times New Roman"/>
          <w:lang w:eastAsia="en-US"/>
        </w:rPr>
        <w:t>t</w:t>
      </w:r>
      <w:r w:rsidRPr="00C86FED">
        <w:rPr>
          <w:rFonts w:eastAsia="Times New Roman" w:cs="Times New Roman"/>
          <w:lang w:eastAsia="en-US"/>
        </w:rPr>
        <w:t xml:space="preserve">ransfer </w:t>
      </w:r>
      <w:r>
        <w:rPr>
          <w:rFonts w:eastAsia="Times New Roman" w:cs="Times New Roman"/>
          <w:lang w:eastAsia="en-US"/>
        </w:rPr>
        <w:t>criteria are clearly defined,</w:t>
      </w:r>
      <w:r w:rsidRPr="00C86FED">
        <w:rPr>
          <w:rFonts w:eastAsia="Times New Roman" w:cs="Times New Roman"/>
          <w:lang w:eastAsia="en-US"/>
        </w:rPr>
        <w:t xml:space="preserve"> realistic and reflective of the strategic intent of the </w:t>
      </w:r>
      <w:r>
        <w:rPr>
          <w:rFonts w:eastAsia="Times New Roman" w:cs="Times New Roman"/>
          <w:lang w:eastAsia="en-US"/>
        </w:rPr>
        <w:t>RAA,</w:t>
      </w:r>
      <w:r w:rsidRPr="00C86FED">
        <w:rPr>
          <w:rFonts w:eastAsia="Times New Roman" w:cs="Times New Roman"/>
          <w:lang w:eastAsia="en-US"/>
        </w:rPr>
        <w:t xml:space="preserve"> equitable</w:t>
      </w:r>
      <w:r>
        <w:rPr>
          <w:rFonts w:eastAsia="Times New Roman" w:cs="Times New Roman"/>
          <w:lang w:eastAsia="en-US"/>
        </w:rPr>
        <w:t>,</w:t>
      </w:r>
      <w:r w:rsidRPr="00C86FED">
        <w:rPr>
          <w:rFonts w:eastAsia="Times New Roman" w:cs="Times New Roman"/>
          <w:lang w:eastAsia="en-US"/>
        </w:rPr>
        <w:t xml:space="preserve"> and able to be implemented at an operational level;</w:t>
      </w:r>
    </w:p>
    <w:p w:rsidR="009F7B7D" w:rsidRPr="00C86FED" w:rsidRDefault="009F7B7D" w:rsidP="005776E0">
      <w:pPr>
        <w:numPr>
          <w:ilvl w:val="0"/>
          <w:numId w:val="32"/>
        </w:numPr>
        <w:spacing w:after="0" w:line="240" w:lineRule="auto"/>
        <w:jc w:val="both"/>
        <w:rPr>
          <w:rFonts w:eastAsia="Times New Roman" w:cs="Times New Roman"/>
          <w:lang w:eastAsia="en-US"/>
        </w:rPr>
      </w:pPr>
      <w:r>
        <w:rPr>
          <w:rFonts w:eastAsia="Times New Roman" w:cs="Times New Roman"/>
          <w:lang w:eastAsia="en-US"/>
        </w:rPr>
        <w:t>t</w:t>
      </w:r>
      <w:r w:rsidRPr="00C86FED">
        <w:rPr>
          <w:rFonts w:eastAsia="Times New Roman" w:cs="Times New Roman"/>
          <w:lang w:eastAsia="en-US"/>
        </w:rPr>
        <w:t xml:space="preserve">he partner </w:t>
      </w:r>
      <w:r>
        <w:rPr>
          <w:rFonts w:eastAsia="Times New Roman" w:cs="Times New Roman"/>
          <w:lang w:eastAsia="en-US"/>
        </w:rPr>
        <w:t xml:space="preserve">University’s </w:t>
      </w:r>
      <w:r w:rsidRPr="00C86FED">
        <w:rPr>
          <w:rFonts w:eastAsia="Times New Roman" w:cs="Times New Roman"/>
          <w:lang w:eastAsia="en-US"/>
        </w:rPr>
        <w:t xml:space="preserve">academic Schools/Faculties are engaged and thus ensure a consistent level of oversight and interaction between the College management and the University’s academic processes and community; </w:t>
      </w:r>
    </w:p>
    <w:p w:rsidR="009F7B7D" w:rsidRPr="00C86FED" w:rsidRDefault="009F7B7D" w:rsidP="005776E0">
      <w:pPr>
        <w:numPr>
          <w:ilvl w:val="0"/>
          <w:numId w:val="32"/>
        </w:numPr>
        <w:spacing w:after="0" w:line="240" w:lineRule="auto"/>
        <w:jc w:val="both"/>
        <w:rPr>
          <w:rFonts w:eastAsia="Times New Roman" w:cs="Times New Roman"/>
          <w:lang w:eastAsia="en-US"/>
        </w:rPr>
      </w:pPr>
      <w:r w:rsidRPr="00C86FED">
        <w:rPr>
          <w:rFonts w:eastAsia="Times New Roman" w:cs="Times New Roman"/>
          <w:lang w:eastAsia="en-US"/>
        </w:rPr>
        <w:t>the out</w:t>
      </w:r>
      <w:r>
        <w:rPr>
          <w:rFonts w:eastAsia="Times New Roman" w:cs="Times New Roman"/>
          <w:lang w:eastAsia="en-US"/>
        </w:rPr>
        <w:t>come of reviews of the overall s</w:t>
      </w:r>
      <w:r w:rsidRPr="00C86FED">
        <w:rPr>
          <w:rFonts w:eastAsia="Times New Roman" w:cs="Times New Roman"/>
          <w:lang w:eastAsia="en-US"/>
        </w:rPr>
        <w:t>tudent experience during their time at the College and their final two or three years at the University</w:t>
      </w:r>
      <w:r>
        <w:rPr>
          <w:rFonts w:eastAsia="Times New Roman" w:cs="Times New Roman"/>
          <w:lang w:eastAsia="en-US"/>
        </w:rPr>
        <w:t xml:space="preserve"> is considered</w:t>
      </w:r>
      <w:r w:rsidRPr="00C86FED">
        <w:rPr>
          <w:rFonts w:eastAsia="Times New Roman" w:cs="Times New Roman"/>
          <w:lang w:eastAsia="en-US"/>
        </w:rPr>
        <w:t>;</w:t>
      </w:r>
    </w:p>
    <w:p w:rsidR="009F7B7D" w:rsidRPr="00C86FED" w:rsidRDefault="009F7B7D" w:rsidP="005776E0">
      <w:pPr>
        <w:numPr>
          <w:ilvl w:val="0"/>
          <w:numId w:val="32"/>
        </w:numPr>
        <w:spacing w:after="0" w:line="240" w:lineRule="auto"/>
        <w:jc w:val="both"/>
        <w:rPr>
          <w:rFonts w:eastAsia="Times New Roman" w:cs="Times New Roman"/>
          <w:lang w:eastAsia="en-US"/>
        </w:rPr>
      </w:pPr>
      <w:r w:rsidRPr="00C86FED">
        <w:rPr>
          <w:rFonts w:eastAsia="Times New Roman" w:cs="Times New Roman"/>
          <w:lang w:eastAsia="en-US"/>
        </w:rPr>
        <w:t xml:space="preserve">the annual Tracer Study </w:t>
      </w:r>
      <w:r>
        <w:rPr>
          <w:rFonts w:eastAsia="Times New Roman" w:cs="Times New Roman"/>
          <w:lang w:eastAsia="en-US"/>
        </w:rPr>
        <w:t>is considered</w:t>
      </w:r>
      <w:r w:rsidRPr="00C86FED">
        <w:rPr>
          <w:rFonts w:eastAsia="Times New Roman" w:cs="Times New Roman"/>
          <w:lang w:eastAsia="en-US"/>
        </w:rPr>
        <w:t xml:space="preserve"> and outcomes </w:t>
      </w:r>
      <w:r>
        <w:rPr>
          <w:rFonts w:eastAsia="Times New Roman" w:cs="Times New Roman"/>
          <w:lang w:eastAsia="en-US"/>
        </w:rPr>
        <w:t xml:space="preserve">reported </w:t>
      </w:r>
      <w:r w:rsidRPr="00C86FED">
        <w:rPr>
          <w:rFonts w:eastAsia="Times New Roman" w:cs="Times New Roman"/>
          <w:lang w:eastAsia="en-US"/>
        </w:rPr>
        <w:t>to the JSPMB;</w:t>
      </w:r>
    </w:p>
    <w:p w:rsidR="009F7B7D" w:rsidRPr="00C86FED" w:rsidRDefault="009F7B7D" w:rsidP="005776E0">
      <w:pPr>
        <w:numPr>
          <w:ilvl w:val="0"/>
          <w:numId w:val="32"/>
        </w:numPr>
        <w:spacing w:after="0" w:line="240" w:lineRule="auto"/>
        <w:jc w:val="both"/>
        <w:rPr>
          <w:rFonts w:eastAsia="Times New Roman" w:cs="Times New Roman"/>
          <w:lang w:eastAsia="en-US"/>
        </w:rPr>
      </w:pPr>
      <w:r w:rsidRPr="00C86FED">
        <w:rPr>
          <w:rFonts w:eastAsia="Times New Roman" w:cs="Times New Roman"/>
          <w:lang w:eastAsia="en-US"/>
        </w:rPr>
        <w:t>any required amendments to the academic framework as a result of annual Tracer Studies and student performance reviews</w:t>
      </w:r>
      <w:r>
        <w:rPr>
          <w:rFonts w:eastAsia="Times New Roman" w:cs="Times New Roman"/>
          <w:lang w:eastAsia="en-US"/>
        </w:rPr>
        <w:t xml:space="preserve"> are recommended to the JSPMB and subsequently monitored</w:t>
      </w:r>
      <w:r w:rsidRPr="00C86FED">
        <w:rPr>
          <w:rFonts w:eastAsia="Times New Roman" w:cs="Times New Roman"/>
          <w:lang w:eastAsia="en-US"/>
        </w:rPr>
        <w:t>;</w:t>
      </w:r>
    </w:p>
    <w:p w:rsidR="009F7B7D" w:rsidRPr="007908C2" w:rsidRDefault="007908C2" w:rsidP="005776E0">
      <w:pPr>
        <w:numPr>
          <w:ilvl w:val="0"/>
          <w:numId w:val="32"/>
        </w:numPr>
        <w:spacing w:after="0" w:line="240" w:lineRule="auto"/>
        <w:jc w:val="both"/>
        <w:rPr>
          <w:rFonts w:eastAsia="Times New Roman" w:cs="Times New Roman"/>
          <w:lang w:eastAsia="en-US"/>
        </w:rPr>
      </w:pPr>
      <w:r>
        <w:rPr>
          <w:rFonts w:eastAsia="Times New Roman" w:cs="Times New Roman"/>
          <w:lang w:eastAsia="en-US"/>
        </w:rPr>
        <w:t>the JSPMB</w:t>
      </w:r>
      <w:r w:rsidRPr="00C86FED">
        <w:rPr>
          <w:rFonts w:eastAsia="Times New Roman" w:cs="Times New Roman"/>
          <w:lang w:eastAsia="en-US"/>
        </w:rPr>
        <w:t xml:space="preserve"> is advised on strategic academic direction and op</w:t>
      </w:r>
      <w:r>
        <w:rPr>
          <w:rFonts w:eastAsia="Times New Roman" w:cs="Times New Roman"/>
          <w:lang w:eastAsia="en-US"/>
        </w:rPr>
        <w:t xml:space="preserve">portunities for new initiatives and that, </w:t>
      </w:r>
      <w:r w:rsidR="009F7B7D" w:rsidRPr="007908C2">
        <w:rPr>
          <w:rFonts w:eastAsia="Times New Roman" w:cs="Arial"/>
          <w:bCs/>
          <w:kern w:val="32"/>
          <w:lang w:eastAsia="en-US"/>
        </w:rPr>
        <w:t xml:space="preserve">where appropriate, </w:t>
      </w:r>
      <w:r w:rsidR="009F7B7D" w:rsidRPr="00C86FED">
        <w:rPr>
          <w:rFonts w:eastAsia="Times New Roman" w:cs="Arial"/>
          <w:bCs/>
          <w:kern w:val="32"/>
          <w:lang w:eastAsia="en-US"/>
        </w:rPr>
        <w:t xml:space="preserve">new </w:t>
      </w:r>
      <w:r w:rsidR="009F7B7D" w:rsidRPr="007908C2">
        <w:rPr>
          <w:rFonts w:eastAsia="Times New Roman" w:cs="Arial"/>
          <w:bCs/>
          <w:kern w:val="32"/>
          <w:lang w:eastAsia="en-US"/>
        </w:rPr>
        <w:t>p</w:t>
      </w:r>
      <w:r w:rsidR="009F7B7D" w:rsidRPr="00C86FED">
        <w:rPr>
          <w:rFonts w:eastAsia="Times New Roman" w:cs="Arial"/>
          <w:bCs/>
          <w:kern w:val="32"/>
          <w:lang w:eastAsia="en-US"/>
        </w:rPr>
        <w:t>athway</w:t>
      </w:r>
      <w:r w:rsidR="009F7B7D" w:rsidRPr="007908C2">
        <w:rPr>
          <w:rFonts w:eastAsia="Times New Roman" w:cs="Arial"/>
          <w:bCs/>
          <w:kern w:val="32"/>
          <w:lang w:eastAsia="en-US"/>
        </w:rPr>
        <w:t>s</w:t>
      </w:r>
      <w:r w:rsidR="009F7B7D" w:rsidRPr="00C86FED">
        <w:rPr>
          <w:rFonts w:eastAsia="Times New Roman" w:cs="Arial"/>
          <w:bCs/>
          <w:kern w:val="32"/>
          <w:lang w:eastAsia="en-US"/>
        </w:rPr>
        <w:t xml:space="preserve"> </w:t>
      </w:r>
      <w:r w:rsidR="009F7B7D" w:rsidRPr="007908C2">
        <w:rPr>
          <w:rFonts w:eastAsia="Times New Roman" w:cs="Arial"/>
          <w:bCs/>
          <w:kern w:val="32"/>
          <w:lang w:eastAsia="en-US"/>
        </w:rPr>
        <w:t xml:space="preserve">are </w:t>
      </w:r>
      <w:r w:rsidR="009F7B7D" w:rsidRPr="00C86FED">
        <w:rPr>
          <w:rFonts w:eastAsia="Times New Roman" w:cs="Arial"/>
          <w:bCs/>
          <w:kern w:val="32"/>
          <w:lang w:eastAsia="en-US"/>
        </w:rPr>
        <w:t>develop</w:t>
      </w:r>
      <w:r w:rsidR="009F7B7D" w:rsidRPr="007908C2">
        <w:rPr>
          <w:rFonts w:eastAsia="Times New Roman" w:cs="Arial"/>
          <w:bCs/>
          <w:kern w:val="32"/>
          <w:lang w:eastAsia="en-US"/>
        </w:rPr>
        <w:t>ed</w:t>
      </w:r>
      <w:r w:rsidR="009F7B7D" w:rsidRPr="00C86FED">
        <w:rPr>
          <w:rFonts w:eastAsia="Times New Roman" w:cs="Arial"/>
          <w:bCs/>
          <w:kern w:val="32"/>
          <w:lang w:eastAsia="en-US"/>
        </w:rPr>
        <w:t xml:space="preserve"> </w:t>
      </w:r>
      <w:r>
        <w:rPr>
          <w:rFonts w:eastAsia="Times New Roman" w:cs="Arial"/>
          <w:bCs/>
          <w:kern w:val="32"/>
          <w:lang w:eastAsia="en-US"/>
        </w:rPr>
        <w:t>with</w:t>
      </w:r>
      <w:r w:rsidR="009F7B7D" w:rsidRPr="00C86FED">
        <w:rPr>
          <w:rFonts w:eastAsia="Times New Roman" w:cs="Arial"/>
          <w:bCs/>
          <w:kern w:val="32"/>
          <w:lang w:eastAsia="en-US"/>
        </w:rPr>
        <w:t xml:space="preserve"> the appropriate level of quality management and control to provide the necessary imprimatur for acceptance amongst the University </w:t>
      </w:r>
      <w:r w:rsidR="009F7B7D" w:rsidRPr="007908C2">
        <w:rPr>
          <w:rFonts w:eastAsia="Times New Roman" w:cs="Arial"/>
          <w:bCs/>
          <w:kern w:val="32"/>
          <w:lang w:eastAsia="en-US"/>
        </w:rPr>
        <w:t>community;</w:t>
      </w:r>
      <w:r w:rsidR="009F7B7D" w:rsidRPr="007908C2">
        <w:rPr>
          <w:rFonts w:eastAsia="Times New Roman" w:cs="Times New Roman"/>
          <w:lang w:eastAsia="en-US"/>
        </w:rPr>
        <w:t xml:space="preserve"> </w:t>
      </w:r>
    </w:p>
    <w:p w:rsidR="00FF337D" w:rsidRPr="00C86FED" w:rsidRDefault="00FF337D" w:rsidP="00FF337D">
      <w:pPr>
        <w:spacing w:after="0" w:line="240" w:lineRule="auto"/>
        <w:ind w:left="709"/>
        <w:jc w:val="both"/>
        <w:rPr>
          <w:rFonts w:eastAsia="Times New Roman" w:cs="Times New Roman"/>
          <w:bCs/>
          <w:lang w:eastAsia="en-US"/>
        </w:rPr>
      </w:pPr>
    </w:p>
    <w:p w:rsidR="007F65AE" w:rsidRDefault="007F65AE" w:rsidP="00D608EB">
      <w:pPr>
        <w:spacing w:after="0" w:line="240" w:lineRule="auto"/>
        <w:ind w:left="709"/>
        <w:jc w:val="both"/>
      </w:pPr>
      <w:r>
        <w:t xml:space="preserve">Each meeting of the AAC receives an Academic Report from the College that details qualitative and quantitative quality information derived from standard reporting processes within the College.  </w:t>
      </w:r>
      <w:r w:rsidRPr="00AF3CD0">
        <w:t xml:space="preserve">The template for </w:t>
      </w:r>
      <w:r w:rsidR="00AF3CD0">
        <w:t xml:space="preserve">this report is </w:t>
      </w:r>
      <w:r w:rsidR="00480434">
        <w:t>provided a</w:t>
      </w:r>
      <w:r w:rsidR="00AF3CD0">
        <w:t xml:space="preserve">s Form </w:t>
      </w:r>
      <w:r w:rsidR="00480434">
        <w:t>1</w:t>
      </w:r>
      <w:r w:rsidRPr="00AF3CD0">
        <w:t xml:space="preserve">. </w:t>
      </w:r>
      <w:r w:rsidR="00C957AF" w:rsidRPr="00AF3CD0">
        <w:t xml:space="preserve"> </w:t>
      </w:r>
      <w:r w:rsidR="007908C2">
        <w:t>As well as reporting to the JSPMB, t</w:t>
      </w:r>
      <w:r>
        <w:t>he AAC channels information to either the College Learning and Teaching Boa</w:t>
      </w:r>
      <w:r w:rsidR="00C957AF">
        <w:t>rd</w:t>
      </w:r>
      <w:r>
        <w:t xml:space="preserve">, the </w:t>
      </w:r>
      <w:r w:rsidR="00C957AF">
        <w:t>P</w:t>
      </w:r>
      <w:r>
        <w:t xml:space="preserve">artner University Quality Office (or equivalent) or the relevant Faculty Associate Dean Quality (or equivalent), </w:t>
      </w:r>
      <w:r w:rsidR="00C957AF">
        <w:t>as required</w:t>
      </w:r>
      <w:r>
        <w:t xml:space="preserve">. </w:t>
      </w:r>
    </w:p>
    <w:p w:rsidR="00C86FED" w:rsidRDefault="00C86FED" w:rsidP="00D608EB">
      <w:pPr>
        <w:spacing w:after="0" w:line="240" w:lineRule="auto"/>
        <w:ind w:left="709"/>
        <w:jc w:val="both"/>
      </w:pPr>
    </w:p>
    <w:p w:rsidR="004B5830" w:rsidRDefault="00480434" w:rsidP="00C957AF">
      <w:pPr>
        <w:spacing w:after="0" w:line="240" w:lineRule="auto"/>
        <w:ind w:left="720"/>
        <w:jc w:val="both"/>
      </w:pPr>
      <w:r>
        <w:t>The AAC is c</w:t>
      </w:r>
      <w:r w:rsidR="007908C2">
        <w:t xml:space="preserve">haired by </w:t>
      </w:r>
      <w:r>
        <w:t>the senior member of the Univer</w:t>
      </w:r>
      <w:r w:rsidR="007908C2">
        <w:t>sity with direct responsibility for the partnership. Its membership is draw from senior members of the College staff, including the CDP and the Senior Academic Manager, and representatives of each University School/Faculty involved in the pathway portfolio of the College.</w:t>
      </w:r>
    </w:p>
    <w:p w:rsidR="007908C2" w:rsidRDefault="007908C2" w:rsidP="00C957AF">
      <w:pPr>
        <w:spacing w:after="0" w:line="240" w:lineRule="auto"/>
        <w:ind w:left="720"/>
        <w:jc w:val="both"/>
      </w:pPr>
    </w:p>
    <w:p w:rsidR="007908C2" w:rsidRPr="007908C2" w:rsidRDefault="007908C2" w:rsidP="007908C2">
      <w:pPr>
        <w:pStyle w:val="MRheading2Char"/>
        <w:numPr>
          <w:ilvl w:val="0"/>
          <w:numId w:val="0"/>
        </w:numPr>
        <w:autoSpaceDE w:val="0"/>
        <w:autoSpaceDN w:val="0"/>
        <w:adjustRightInd w:val="0"/>
        <w:spacing w:before="0" w:line="240" w:lineRule="auto"/>
        <w:ind w:left="709"/>
        <w:rPr>
          <w:rFonts w:asciiTheme="minorHAnsi" w:hAnsiTheme="minorHAnsi" w:cs="Helvetica"/>
          <w:sz w:val="22"/>
          <w:szCs w:val="22"/>
        </w:rPr>
      </w:pPr>
      <w:r w:rsidRPr="007908C2">
        <w:rPr>
          <w:rFonts w:asciiTheme="minorHAnsi" w:hAnsiTheme="minorHAnsi" w:cs="Helvetica"/>
          <w:sz w:val="22"/>
          <w:szCs w:val="22"/>
        </w:rPr>
        <w:t xml:space="preserve">The AAC </w:t>
      </w:r>
      <w:r w:rsidR="00480434">
        <w:rPr>
          <w:rFonts w:asciiTheme="minorHAnsi" w:hAnsiTheme="minorHAnsi" w:cs="Helvetica"/>
          <w:sz w:val="22"/>
          <w:szCs w:val="22"/>
        </w:rPr>
        <w:t>will meet at least once each se</w:t>
      </w:r>
      <w:r w:rsidRPr="007908C2">
        <w:rPr>
          <w:rFonts w:asciiTheme="minorHAnsi" w:hAnsiTheme="minorHAnsi" w:cs="Helvetica"/>
          <w:sz w:val="22"/>
          <w:szCs w:val="22"/>
        </w:rPr>
        <w:t>mester and no later than eight (8) weeks into any g</w:t>
      </w:r>
      <w:r w:rsidR="00480434">
        <w:rPr>
          <w:rFonts w:asciiTheme="minorHAnsi" w:hAnsiTheme="minorHAnsi" w:cs="Helvetica"/>
          <w:sz w:val="22"/>
          <w:szCs w:val="22"/>
        </w:rPr>
        <w:t>iven se</w:t>
      </w:r>
      <w:r w:rsidRPr="007908C2">
        <w:rPr>
          <w:rFonts w:asciiTheme="minorHAnsi" w:hAnsiTheme="minorHAnsi" w:cs="Helvetica"/>
          <w:sz w:val="22"/>
          <w:szCs w:val="22"/>
        </w:rPr>
        <w:t xml:space="preserve">mester. Meetings are usually held in March, July and December each calendar year. </w:t>
      </w:r>
      <w:r>
        <w:rPr>
          <w:rFonts w:asciiTheme="minorHAnsi" w:hAnsiTheme="minorHAnsi" w:cs="Helvetica"/>
          <w:sz w:val="22"/>
          <w:szCs w:val="22"/>
        </w:rPr>
        <w:t xml:space="preserve"> </w:t>
      </w:r>
      <w:r w:rsidRPr="007908C2">
        <w:rPr>
          <w:rFonts w:asciiTheme="minorHAnsi" w:hAnsiTheme="minorHAnsi" w:cs="Helvetica"/>
          <w:sz w:val="22"/>
          <w:szCs w:val="22"/>
        </w:rPr>
        <w:t xml:space="preserve">The AAC will meet prior to the scheduled meetings of the JSPMB in order for the minutes of the AAC to be tabled at the JSPMB’s meeting. </w:t>
      </w:r>
    </w:p>
    <w:p w:rsidR="007908C2" w:rsidRPr="007908C2" w:rsidRDefault="007908C2" w:rsidP="007908C2">
      <w:pPr>
        <w:spacing w:after="0" w:line="240" w:lineRule="auto"/>
        <w:ind w:left="709"/>
        <w:jc w:val="both"/>
      </w:pPr>
    </w:p>
    <w:p w:rsidR="004B5830" w:rsidRDefault="00D603C7" w:rsidP="00A30177">
      <w:pPr>
        <w:spacing w:after="0" w:line="240" w:lineRule="auto"/>
        <w:ind w:left="720" w:hanging="720"/>
        <w:jc w:val="both"/>
      </w:pPr>
      <w:r>
        <w:t>5.1</w:t>
      </w:r>
      <w:r w:rsidR="004B5830">
        <w:t>.3</w:t>
      </w:r>
      <w:r w:rsidR="004B5830">
        <w:tab/>
      </w:r>
      <w:r w:rsidR="004B5830" w:rsidRPr="00480434">
        <w:rPr>
          <w:u w:val="single"/>
        </w:rPr>
        <w:t>Operational Advisory Committee (OAC)</w:t>
      </w:r>
    </w:p>
    <w:p w:rsidR="007908C2" w:rsidRPr="007908C2" w:rsidRDefault="007908C2" w:rsidP="006A41BB">
      <w:pPr>
        <w:autoSpaceDE w:val="0"/>
        <w:autoSpaceDN w:val="0"/>
        <w:adjustRightInd w:val="0"/>
        <w:spacing w:after="0" w:line="240" w:lineRule="auto"/>
        <w:ind w:left="709"/>
        <w:rPr>
          <w:rFonts w:eastAsia="ArialUnicodeMS" w:cs="ArialUnicodeMS"/>
          <w:color w:val="000000"/>
          <w:lang w:eastAsia="en-US"/>
        </w:rPr>
      </w:pPr>
      <w:r w:rsidRPr="007908C2">
        <w:rPr>
          <w:rFonts w:eastAsia="Times New Roman" w:cs="Times New Roman"/>
          <w:lang w:eastAsia="en-US"/>
        </w:rPr>
        <w:lastRenderedPageBreak/>
        <w:t xml:space="preserve">The </w:t>
      </w:r>
      <w:r w:rsidR="006A41BB">
        <w:rPr>
          <w:rFonts w:eastAsia="Times New Roman" w:cs="Times New Roman"/>
          <w:lang w:eastAsia="en-US"/>
        </w:rPr>
        <w:t xml:space="preserve">purpose of the </w:t>
      </w:r>
      <w:r w:rsidRPr="007908C2">
        <w:rPr>
          <w:rFonts w:eastAsia="Times New Roman" w:cs="Times New Roman"/>
          <w:lang w:eastAsia="en-US"/>
        </w:rPr>
        <w:t xml:space="preserve">OAC </w:t>
      </w:r>
      <w:r w:rsidR="006A41BB">
        <w:rPr>
          <w:rFonts w:eastAsia="Times New Roman" w:cs="Times New Roman"/>
          <w:lang w:eastAsia="en-US"/>
        </w:rPr>
        <w:t xml:space="preserve">is to </w:t>
      </w:r>
      <w:r w:rsidRPr="007908C2">
        <w:rPr>
          <w:rFonts w:eastAsia="ArialUnicodeMS" w:cs="ArialUnicodeMS"/>
          <w:color w:val="000000"/>
          <w:lang w:eastAsia="en-US"/>
        </w:rPr>
        <w:t>oversee operational matters on behalf of the JSPMB</w:t>
      </w:r>
      <w:r w:rsidRPr="007908C2">
        <w:rPr>
          <w:rFonts w:eastAsia="ArialUnicodeMS" w:cs="ArialUnicodeMS"/>
          <w:b/>
          <w:color w:val="000000"/>
          <w:lang w:eastAsia="en-US"/>
        </w:rPr>
        <w:t xml:space="preserve"> </w:t>
      </w:r>
      <w:r w:rsidRPr="007908C2">
        <w:rPr>
          <w:rFonts w:eastAsia="ArialUnicodeMS" w:cs="ArialUnicodeMS"/>
          <w:color w:val="000000"/>
          <w:lang w:eastAsia="en-US"/>
        </w:rPr>
        <w:t>and support the quality assurance mandate of operating systems and processes</w:t>
      </w:r>
      <w:r w:rsidR="006A41BB">
        <w:rPr>
          <w:rFonts w:eastAsia="ArialUnicodeMS" w:cs="ArialUnicodeMS"/>
          <w:color w:val="000000"/>
          <w:lang w:eastAsia="en-US"/>
        </w:rPr>
        <w:t xml:space="preserve"> </w:t>
      </w:r>
      <w:r w:rsidRPr="007908C2">
        <w:rPr>
          <w:rFonts w:eastAsia="Times New Roman" w:cs="Times New Roman"/>
          <w:bCs/>
          <w:lang w:eastAsia="en-US"/>
        </w:rPr>
        <w:t>particularly those points of interface where the systems and processes of the College and those of the University intersect.</w:t>
      </w:r>
      <w:r w:rsidR="006A41BB">
        <w:rPr>
          <w:rFonts w:eastAsia="ArialUnicodeMS" w:cs="ArialUnicodeMS"/>
          <w:color w:val="000000"/>
          <w:lang w:eastAsia="en-US"/>
        </w:rPr>
        <w:t xml:space="preserve">  </w:t>
      </w:r>
      <w:r w:rsidRPr="007908C2">
        <w:rPr>
          <w:rFonts w:eastAsia="Times New Roman" w:cs="Times New Roman"/>
          <w:lang w:eastAsia="en-US"/>
        </w:rPr>
        <w:t>The role of the OAC is to ensure that:</w:t>
      </w:r>
    </w:p>
    <w:p w:rsidR="007908C2" w:rsidRPr="007908C2" w:rsidRDefault="006A41BB" w:rsidP="005776E0">
      <w:pPr>
        <w:numPr>
          <w:ilvl w:val="0"/>
          <w:numId w:val="33"/>
        </w:numPr>
        <w:spacing w:after="0" w:line="240" w:lineRule="auto"/>
        <w:ind w:left="1134" w:hanging="425"/>
        <w:contextualSpacing/>
        <w:jc w:val="both"/>
        <w:rPr>
          <w:rFonts w:eastAsia="Times New Roman" w:cs="Times New Roman"/>
          <w:lang w:eastAsia="en-US"/>
        </w:rPr>
      </w:pPr>
      <w:r>
        <w:rPr>
          <w:rFonts w:eastAsia="Times New Roman" w:cs="Times New Roman"/>
          <w:lang w:eastAsia="en-US"/>
        </w:rPr>
        <w:t>t</w:t>
      </w:r>
      <w:r w:rsidR="007908C2" w:rsidRPr="007908C2">
        <w:rPr>
          <w:rFonts w:eastAsia="Times New Roman" w:cs="Times New Roman"/>
          <w:lang w:eastAsia="en-US"/>
        </w:rPr>
        <w:t>he internal and external key service and line functions of ICT systems and services across the College and between the College and the University function at best practise level;</w:t>
      </w:r>
    </w:p>
    <w:p w:rsidR="007908C2" w:rsidRPr="007908C2" w:rsidRDefault="006A41BB" w:rsidP="005776E0">
      <w:pPr>
        <w:numPr>
          <w:ilvl w:val="0"/>
          <w:numId w:val="33"/>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r</w:t>
      </w:r>
      <w:r w:rsidR="007908C2" w:rsidRPr="007908C2">
        <w:rPr>
          <w:rFonts w:eastAsia="Times New Roman" w:cs="Times New Roman"/>
          <w:lang w:eastAsia="en-US"/>
        </w:rPr>
        <w:t>ecommendations are made to the JSPMB regarding issues impacting on the effectiveness of the College’s operating environment and other areas of concern and in need of improvement, adjustment or removal;</w:t>
      </w:r>
    </w:p>
    <w:p w:rsidR="007908C2" w:rsidRPr="007908C2" w:rsidRDefault="006A41BB" w:rsidP="005776E0">
      <w:pPr>
        <w:numPr>
          <w:ilvl w:val="0"/>
          <w:numId w:val="33"/>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student information systems</w:t>
      </w:r>
      <w:r w:rsidR="007908C2" w:rsidRPr="007908C2">
        <w:rPr>
          <w:rFonts w:eastAsia="Times New Roman" w:cs="Times New Roman"/>
          <w:lang w:eastAsia="en-US"/>
        </w:rPr>
        <w:t xml:space="preserve"> training requirements are addressed and monitored;</w:t>
      </w:r>
    </w:p>
    <w:p w:rsidR="007908C2" w:rsidRPr="007908C2" w:rsidRDefault="006A41BB" w:rsidP="005776E0">
      <w:pPr>
        <w:numPr>
          <w:ilvl w:val="0"/>
          <w:numId w:val="33"/>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t</w:t>
      </w:r>
      <w:r w:rsidR="007908C2" w:rsidRPr="007908C2">
        <w:rPr>
          <w:rFonts w:eastAsia="Times New Roman" w:cs="Times New Roman"/>
          <w:lang w:eastAsia="en-US"/>
        </w:rPr>
        <w:t xml:space="preserve">ier 4 and visa regulatory issues and legislation </w:t>
      </w:r>
      <w:r>
        <w:rPr>
          <w:rFonts w:eastAsia="Times New Roman" w:cs="Times New Roman"/>
          <w:lang w:eastAsia="en-US"/>
        </w:rPr>
        <w:t>are</w:t>
      </w:r>
      <w:r w:rsidR="007908C2" w:rsidRPr="007908C2">
        <w:rPr>
          <w:rFonts w:eastAsia="Times New Roman" w:cs="Times New Roman"/>
          <w:lang w:eastAsia="en-US"/>
        </w:rPr>
        <w:t xml:space="preserve"> managed collaboratively;</w:t>
      </w:r>
    </w:p>
    <w:p w:rsidR="007908C2" w:rsidRPr="007908C2" w:rsidRDefault="006A41BB" w:rsidP="005776E0">
      <w:pPr>
        <w:numPr>
          <w:ilvl w:val="0"/>
          <w:numId w:val="33"/>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r</w:t>
      </w:r>
      <w:r w:rsidR="007908C2" w:rsidRPr="007908C2">
        <w:rPr>
          <w:rFonts w:eastAsia="Times New Roman" w:cs="Times New Roman"/>
          <w:lang w:eastAsia="en-US"/>
        </w:rPr>
        <w:t>eporting processes between College and the University are formalised;</w:t>
      </w:r>
    </w:p>
    <w:p w:rsidR="007908C2" w:rsidRPr="007908C2" w:rsidRDefault="006A41BB" w:rsidP="005776E0">
      <w:pPr>
        <w:numPr>
          <w:ilvl w:val="0"/>
          <w:numId w:val="33"/>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a</w:t>
      </w:r>
      <w:r w:rsidR="007908C2" w:rsidRPr="007908C2">
        <w:rPr>
          <w:rFonts w:eastAsia="Times New Roman" w:cs="Times New Roman"/>
          <w:lang w:eastAsia="en-US"/>
        </w:rPr>
        <w:t>dministrative processes between the College’s admissions function and those of the University are sympathetically aligned;</w:t>
      </w:r>
    </w:p>
    <w:p w:rsidR="007908C2" w:rsidRPr="007908C2" w:rsidRDefault="006A41BB" w:rsidP="005776E0">
      <w:pPr>
        <w:numPr>
          <w:ilvl w:val="0"/>
          <w:numId w:val="33"/>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a</w:t>
      </w:r>
      <w:r w:rsidR="007908C2" w:rsidRPr="007908C2">
        <w:rPr>
          <w:rFonts w:eastAsia="Times New Roman" w:cs="Times New Roman"/>
          <w:lang w:eastAsia="en-US"/>
        </w:rPr>
        <w:t>dmission referral processes between the University and the College and vice vers</w:t>
      </w:r>
      <w:r>
        <w:rPr>
          <w:rFonts w:eastAsia="Times New Roman" w:cs="Times New Roman"/>
          <w:lang w:eastAsia="en-US"/>
        </w:rPr>
        <w:t>a</w:t>
      </w:r>
      <w:r w:rsidR="007908C2" w:rsidRPr="007908C2">
        <w:rPr>
          <w:rFonts w:eastAsia="Times New Roman" w:cs="Times New Roman"/>
          <w:lang w:eastAsia="en-US"/>
        </w:rPr>
        <w:t xml:space="preserve"> are </w:t>
      </w:r>
      <w:r>
        <w:rPr>
          <w:rFonts w:eastAsia="Times New Roman" w:cs="Times New Roman"/>
          <w:lang w:eastAsia="en-US"/>
        </w:rPr>
        <w:t>in place</w:t>
      </w:r>
      <w:r w:rsidR="007908C2" w:rsidRPr="007908C2">
        <w:rPr>
          <w:rFonts w:eastAsia="Times New Roman" w:cs="Times New Roman"/>
          <w:lang w:eastAsia="en-US"/>
        </w:rPr>
        <w:t>;</w:t>
      </w:r>
    </w:p>
    <w:p w:rsidR="007908C2" w:rsidRPr="007908C2" w:rsidRDefault="006A41BB" w:rsidP="005776E0">
      <w:pPr>
        <w:numPr>
          <w:ilvl w:val="0"/>
          <w:numId w:val="33"/>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use of the l</w:t>
      </w:r>
      <w:r w:rsidR="007908C2" w:rsidRPr="007908C2">
        <w:rPr>
          <w:rFonts w:eastAsia="Times New Roman" w:cs="Times New Roman"/>
          <w:lang w:eastAsia="en-US"/>
        </w:rPr>
        <w:t>ibrary and associated resources is monitored and reported on;</w:t>
      </w:r>
    </w:p>
    <w:p w:rsidR="007908C2" w:rsidRPr="007908C2" w:rsidRDefault="006A41BB" w:rsidP="005776E0">
      <w:pPr>
        <w:numPr>
          <w:ilvl w:val="0"/>
          <w:numId w:val="33"/>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the University international office</w:t>
      </w:r>
      <w:r w:rsidR="007908C2" w:rsidRPr="007908C2">
        <w:rPr>
          <w:rFonts w:eastAsia="Times New Roman" w:cs="Times New Roman"/>
          <w:lang w:eastAsia="en-US"/>
        </w:rPr>
        <w:t xml:space="preserve"> and School Admissions Tutors are aware of admission issues and processes as the</w:t>
      </w:r>
      <w:r>
        <w:rPr>
          <w:rFonts w:eastAsia="Times New Roman" w:cs="Times New Roman"/>
          <w:lang w:eastAsia="en-US"/>
        </w:rPr>
        <w:t>y relate to s</w:t>
      </w:r>
      <w:r w:rsidR="007908C2" w:rsidRPr="007908C2">
        <w:rPr>
          <w:rFonts w:eastAsia="Times New Roman" w:cs="Times New Roman"/>
          <w:lang w:eastAsia="en-US"/>
        </w:rPr>
        <w:t>tudents at the College;</w:t>
      </w:r>
    </w:p>
    <w:p w:rsidR="007908C2" w:rsidRPr="007908C2" w:rsidRDefault="006A41BB" w:rsidP="005776E0">
      <w:pPr>
        <w:numPr>
          <w:ilvl w:val="0"/>
          <w:numId w:val="33"/>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the i</w:t>
      </w:r>
      <w:r w:rsidR="007908C2" w:rsidRPr="007908C2">
        <w:rPr>
          <w:rFonts w:eastAsia="Times New Roman" w:cs="Times New Roman"/>
          <w:lang w:eastAsia="en-US"/>
        </w:rPr>
        <w:t>nterface between the College and the University during orientat</w:t>
      </w:r>
      <w:r>
        <w:rPr>
          <w:rFonts w:eastAsia="Times New Roman" w:cs="Times New Roman"/>
          <w:lang w:eastAsia="en-US"/>
        </w:rPr>
        <w:t>ion is designed to enhance the s</w:t>
      </w:r>
      <w:r w:rsidR="007908C2" w:rsidRPr="007908C2">
        <w:rPr>
          <w:rFonts w:eastAsia="Times New Roman" w:cs="Times New Roman"/>
          <w:lang w:eastAsia="en-US"/>
        </w:rPr>
        <w:t>tudents’ commitment to the University;</w:t>
      </w:r>
    </w:p>
    <w:p w:rsidR="007908C2" w:rsidRPr="007908C2" w:rsidRDefault="006A41BB" w:rsidP="005776E0">
      <w:pPr>
        <w:numPr>
          <w:ilvl w:val="0"/>
          <w:numId w:val="33"/>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i</w:t>
      </w:r>
      <w:r w:rsidR="007908C2" w:rsidRPr="007908C2">
        <w:rPr>
          <w:rFonts w:eastAsia="Times New Roman" w:cs="Times New Roman"/>
          <w:lang w:eastAsia="en-US"/>
        </w:rPr>
        <w:t>ntegrated delivery pathway candidates (where such exist) are included in University orientations;</w:t>
      </w:r>
    </w:p>
    <w:p w:rsidR="007908C2" w:rsidRPr="007908C2" w:rsidRDefault="006A41BB" w:rsidP="005776E0">
      <w:pPr>
        <w:numPr>
          <w:ilvl w:val="0"/>
          <w:numId w:val="33"/>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c</w:t>
      </w:r>
      <w:r w:rsidR="007908C2" w:rsidRPr="007908C2">
        <w:rPr>
          <w:rFonts w:eastAsia="Times New Roman" w:cs="Times New Roman"/>
          <w:lang w:eastAsia="en-US"/>
        </w:rPr>
        <w:t>ontact with Students’ Union and student clubs of all kinds is facilitated t</w:t>
      </w:r>
      <w:r>
        <w:rPr>
          <w:rFonts w:eastAsia="Times New Roman" w:cs="Times New Roman"/>
          <w:lang w:eastAsia="en-US"/>
        </w:rPr>
        <w:t>o assist in the integration of students and streamline s</w:t>
      </w:r>
      <w:r w:rsidR="007908C2" w:rsidRPr="007908C2">
        <w:rPr>
          <w:rFonts w:eastAsia="Times New Roman" w:cs="Times New Roman"/>
          <w:lang w:eastAsia="en-US"/>
        </w:rPr>
        <w:t>tudent access to those agreed services and facilities;</w:t>
      </w:r>
    </w:p>
    <w:p w:rsidR="007908C2" w:rsidRPr="007908C2" w:rsidRDefault="006A41BB" w:rsidP="005776E0">
      <w:pPr>
        <w:numPr>
          <w:ilvl w:val="0"/>
          <w:numId w:val="33"/>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medical and counselling, library, estates and s</w:t>
      </w:r>
      <w:r w:rsidR="007908C2" w:rsidRPr="007908C2">
        <w:rPr>
          <w:rFonts w:eastAsia="Times New Roman" w:cs="Times New Roman"/>
          <w:lang w:eastAsia="en-US"/>
        </w:rPr>
        <w:t>ecurity issues can be addressed and access to agreed services is monitored as necessary;</w:t>
      </w:r>
    </w:p>
    <w:p w:rsidR="007908C2" w:rsidRPr="007908C2" w:rsidRDefault="006A41BB" w:rsidP="005776E0">
      <w:pPr>
        <w:numPr>
          <w:ilvl w:val="0"/>
          <w:numId w:val="33"/>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the c</w:t>
      </w:r>
      <w:r w:rsidR="007908C2" w:rsidRPr="007908C2">
        <w:rPr>
          <w:rFonts w:eastAsia="Times New Roman" w:cs="Times New Roman"/>
          <w:lang w:eastAsia="en-US"/>
        </w:rPr>
        <w:t>entral timetabling interface is effectively managed;</w:t>
      </w:r>
    </w:p>
    <w:p w:rsidR="007908C2" w:rsidRPr="007908C2" w:rsidRDefault="006A41BB" w:rsidP="005776E0">
      <w:pPr>
        <w:numPr>
          <w:ilvl w:val="0"/>
          <w:numId w:val="33"/>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a</w:t>
      </w:r>
      <w:r w:rsidR="007908C2" w:rsidRPr="007908C2">
        <w:rPr>
          <w:rFonts w:eastAsia="Times New Roman" w:cs="Times New Roman"/>
          <w:lang w:eastAsia="en-US"/>
        </w:rPr>
        <w:t xml:space="preserve">ccommodation provision and referral services are well managed; </w:t>
      </w:r>
    </w:p>
    <w:p w:rsidR="007908C2" w:rsidRPr="007908C2" w:rsidRDefault="006A41BB" w:rsidP="005776E0">
      <w:pPr>
        <w:numPr>
          <w:ilvl w:val="0"/>
          <w:numId w:val="33"/>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d</w:t>
      </w:r>
      <w:r w:rsidR="007908C2" w:rsidRPr="007908C2">
        <w:rPr>
          <w:rFonts w:eastAsia="Times New Roman" w:cs="Times New Roman"/>
          <w:lang w:eastAsia="en-US"/>
        </w:rPr>
        <w:t xml:space="preserve">ata centre </w:t>
      </w:r>
      <w:r w:rsidRPr="007908C2">
        <w:rPr>
          <w:rFonts w:eastAsia="Times New Roman" w:cs="Times New Roman"/>
          <w:lang w:eastAsia="en-US"/>
        </w:rPr>
        <w:t>issues</w:t>
      </w:r>
      <w:r>
        <w:rPr>
          <w:rFonts w:eastAsia="Times New Roman" w:cs="Times New Roman"/>
          <w:lang w:eastAsia="en-US"/>
        </w:rPr>
        <w:t>,</w:t>
      </w:r>
      <w:r w:rsidRPr="007908C2">
        <w:rPr>
          <w:rFonts w:eastAsia="Times New Roman" w:cs="Times New Roman"/>
          <w:lang w:eastAsia="en-US"/>
        </w:rPr>
        <w:t xml:space="preserve"> </w:t>
      </w:r>
      <w:r w:rsidR="007908C2" w:rsidRPr="007908C2">
        <w:rPr>
          <w:rFonts w:eastAsia="Times New Roman" w:cs="Times New Roman"/>
          <w:lang w:eastAsia="en-US"/>
        </w:rPr>
        <w:t>inclusive of the housing of ICT servers</w:t>
      </w:r>
      <w:r>
        <w:rPr>
          <w:rFonts w:eastAsia="Times New Roman" w:cs="Times New Roman"/>
          <w:lang w:eastAsia="en-US"/>
        </w:rPr>
        <w:t>,</w:t>
      </w:r>
      <w:r w:rsidR="007908C2" w:rsidRPr="007908C2">
        <w:rPr>
          <w:rFonts w:eastAsia="Times New Roman" w:cs="Times New Roman"/>
          <w:lang w:eastAsia="en-US"/>
        </w:rPr>
        <w:t xml:space="preserve"> can be managed in line with data protection and security requirements; and</w:t>
      </w:r>
    </w:p>
    <w:p w:rsidR="007908C2" w:rsidRDefault="006A41BB" w:rsidP="005776E0">
      <w:pPr>
        <w:numPr>
          <w:ilvl w:val="0"/>
          <w:numId w:val="33"/>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s</w:t>
      </w:r>
      <w:r w:rsidR="007908C2" w:rsidRPr="007908C2">
        <w:rPr>
          <w:rFonts w:eastAsia="Times New Roman" w:cs="Times New Roman"/>
          <w:lang w:eastAsia="en-US"/>
        </w:rPr>
        <w:t>tudent records can be uploaded with due respect to system security and data protection requirements through appropriate staff training.</w:t>
      </w:r>
    </w:p>
    <w:p w:rsidR="00BB59A7" w:rsidRPr="007908C2" w:rsidRDefault="00BB59A7" w:rsidP="00BB59A7">
      <w:pPr>
        <w:spacing w:before="240" w:after="0" w:line="240" w:lineRule="auto"/>
        <w:ind w:left="709"/>
        <w:contextualSpacing/>
        <w:jc w:val="both"/>
        <w:rPr>
          <w:rFonts w:eastAsia="Times New Roman" w:cs="Times New Roman"/>
          <w:lang w:eastAsia="en-US"/>
        </w:rPr>
      </w:pPr>
    </w:p>
    <w:p w:rsidR="006A41BB" w:rsidRDefault="00480434" w:rsidP="00BB59A7">
      <w:pPr>
        <w:keepNext/>
        <w:spacing w:after="0" w:line="240" w:lineRule="auto"/>
        <w:ind w:left="709"/>
        <w:rPr>
          <w:rFonts w:eastAsia="Times New Roman" w:cs="Times New Roman"/>
          <w:lang w:eastAsia="en-US"/>
        </w:rPr>
      </w:pPr>
      <w:r>
        <w:t>The OAC is c</w:t>
      </w:r>
      <w:r w:rsidR="006A41BB">
        <w:t xml:space="preserve">haired by the CDP.  </w:t>
      </w:r>
      <w:r w:rsidR="00BB59A7">
        <w:t>Its College member</w:t>
      </w:r>
      <w:r w:rsidR="006A41BB">
        <w:t xml:space="preserve">ship </w:t>
      </w:r>
      <w:r w:rsidR="004B5830">
        <w:t xml:space="preserve"> </w:t>
      </w:r>
      <w:r w:rsidR="00BB59A7">
        <w:rPr>
          <w:rFonts w:eastAsia="Times New Roman" w:cs="Times New Roman"/>
          <w:lang w:eastAsia="en-US"/>
        </w:rPr>
        <w:t>includes t</w:t>
      </w:r>
      <w:r w:rsidR="006A41BB" w:rsidRPr="006A41BB">
        <w:rPr>
          <w:rFonts w:eastAsia="Times New Roman" w:cs="Times New Roman"/>
          <w:lang w:eastAsia="en-US"/>
        </w:rPr>
        <w:t xml:space="preserve">he </w:t>
      </w:r>
      <w:r w:rsidR="00B4796F">
        <w:rPr>
          <w:rFonts w:eastAsia="Times New Roman" w:cs="Times New Roman"/>
          <w:lang w:eastAsia="en-US"/>
        </w:rPr>
        <w:t>most s</w:t>
      </w:r>
      <w:r w:rsidR="00BB59A7">
        <w:rPr>
          <w:rFonts w:eastAsia="Times New Roman" w:cs="Times New Roman"/>
          <w:lang w:eastAsia="en-US"/>
        </w:rPr>
        <w:t xml:space="preserve">enior </w:t>
      </w:r>
      <w:r w:rsidR="00B4796F">
        <w:rPr>
          <w:rFonts w:eastAsia="Times New Roman" w:cs="Times New Roman"/>
          <w:lang w:eastAsia="en-US"/>
        </w:rPr>
        <w:t xml:space="preserve">member of </w:t>
      </w:r>
      <w:r w:rsidR="006A41BB" w:rsidRPr="006A41BB">
        <w:rPr>
          <w:rFonts w:eastAsia="Times New Roman" w:cs="Times New Roman"/>
          <w:lang w:eastAsia="en-US"/>
        </w:rPr>
        <w:t xml:space="preserve">Student Services </w:t>
      </w:r>
      <w:r w:rsidR="00BB59A7">
        <w:rPr>
          <w:rFonts w:eastAsia="Times New Roman" w:cs="Times New Roman"/>
          <w:lang w:eastAsia="en-US"/>
        </w:rPr>
        <w:t xml:space="preserve">and the </w:t>
      </w:r>
      <w:r w:rsidR="00C70EDD">
        <w:rPr>
          <w:rFonts w:eastAsia="Times New Roman" w:cs="Times New Roman"/>
          <w:lang w:eastAsia="en-US"/>
        </w:rPr>
        <w:t>Senior Manager IT Services and Systems (or nominee)</w:t>
      </w:r>
      <w:r w:rsidR="00BB59A7">
        <w:rPr>
          <w:rFonts w:eastAsia="Times New Roman" w:cs="Times New Roman"/>
          <w:lang w:eastAsia="en-US"/>
        </w:rPr>
        <w:t xml:space="preserve">.  </w:t>
      </w:r>
      <w:r w:rsidR="006A41BB" w:rsidRPr="006A41BB">
        <w:rPr>
          <w:rFonts w:eastAsia="Times New Roman" w:cs="Times New Roman"/>
          <w:lang w:eastAsia="en-US"/>
        </w:rPr>
        <w:t xml:space="preserve">The University is represented </w:t>
      </w:r>
      <w:r w:rsidR="00BB59A7">
        <w:rPr>
          <w:rFonts w:eastAsia="Times New Roman" w:cs="Times New Roman"/>
          <w:lang w:eastAsia="en-US"/>
        </w:rPr>
        <w:t xml:space="preserve">as appropriate by the </w:t>
      </w:r>
      <w:r w:rsidR="006A41BB" w:rsidRPr="006A41BB">
        <w:rPr>
          <w:rFonts w:eastAsia="Times New Roman" w:cs="Times New Roman"/>
          <w:lang w:eastAsia="en-US"/>
        </w:rPr>
        <w:t xml:space="preserve">Director of Student </w:t>
      </w:r>
      <w:r w:rsidR="00BB59A7">
        <w:rPr>
          <w:rFonts w:eastAsia="Times New Roman" w:cs="Times New Roman"/>
          <w:lang w:eastAsia="en-US"/>
        </w:rPr>
        <w:t xml:space="preserve">Services and Support (Registry), the Director of Estates, the </w:t>
      </w:r>
      <w:r w:rsidR="006A41BB" w:rsidRPr="006A41BB">
        <w:rPr>
          <w:rFonts w:eastAsia="Times New Roman" w:cs="Times New Roman"/>
          <w:lang w:eastAsia="en-US"/>
        </w:rPr>
        <w:t>Director of Li</w:t>
      </w:r>
      <w:r w:rsidR="00BB59A7">
        <w:rPr>
          <w:rFonts w:eastAsia="Times New Roman" w:cs="Times New Roman"/>
          <w:lang w:eastAsia="en-US"/>
        </w:rPr>
        <w:t xml:space="preserve">brary and Learning Services, and </w:t>
      </w:r>
      <w:r w:rsidR="006A41BB" w:rsidRPr="006A41BB">
        <w:rPr>
          <w:rFonts w:eastAsia="Times New Roman" w:cs="Times New Roman"/>
          <w:lang w:eastAsia="en-US"/>
        </w:rPr>
        <w:t>Direc</w:t>
      </w:r>
      <w:r w:rsidR="00BB59A7">
        <w:rPr>
          <w:rFonts w:eastAsia="Times New Roman" w:cs="Times New Roman"/>
          <w:lang w:eastAsia="en-US"/>
        </w:rPr>
        <w:t>tor of ICT Services and Support, or their nominees.</w:t>
      </w:r>
    </w:p>
    <w:p w:rsidR="00BB59A7" w:rsidRPr="006A41BB" w:rsidRDefault="00BB59A7" w:rsidP="00BB59A7">
      <w:pPr>
        <w:keepNext/>
        <w:spacing w:after="0" w:line="240" w:lineRule="auto"/>
        <w:ind w:left="709"/>
        <w:rPr>
          <w:rFonts w:eastAsia="Times New Roman" w:cs="Times New Roman"/>
          <w:lang w:eastAsia="en-US"/>
        </w:rPr>
      </w:pPr>
    </w:p>
    <w:p w:rsidR="00BB59A7" w:rsidRPr="00BB59A7" w:rsidRDefault="00BB59A7" w:rsidP="00BB59A7">
      <w:pPr>
        <w:pStyle w:val="MRheading2Char"/>
        <w:numPr>
          <w:ilvl w:val="0"/>
          <w:numId w:val="0"/>
        </w:numPr>
        <w:autoSpaceDE w:val="0"/>
        <w:autoSpaceDN w:val="0"/>
        <w:adjustRightInd w:val="0"/>
        <w:spacing w:before="0" w:line="240" w:lineRule="auto"/>
        <w:ind w:left="709"/>
        <w:rPr>
          <w:rFonts w:asciiTheme="minorHAnsi" w:hAnsiTheme="minorHAnsi" w:cs="Helvetica"/>
          <w:sz w:val="22"/>
          <w:szCs w:val="22"/>
        </w:rPr>
      </w:pPr>
      <w:r w:rsidRPr="00BB59A7">
        <w:rPr>
          <w:rFonts w:asciiTheme="minorHAnsi" w:hAnsiTheme="minorHAnsi" w:cs="Helvetica"/>
          <w:sz w:val="22"/>
          <w:szCs w:val="22"/>
        </w:rPr>
        <w:t>The OAC will meet twice each year no lat</w:t>
      </w:r>
      <w:r w:rsidR="00480434">
        <w:rPr>
          <w:rFonts w:asciiTheme="minorHAnsi" w:hAnsiTheme="minorHAnsi" w:cs="Helvetica"/>
          <w:sz w:val="22"/>
          <w:szCs w:val="22"/>
        </w:rPr>
        <w:t>er than eight (8) weeks into se</w:t>
      </w:r>
      <w:r w:rsidRPr="00BB59A7">
        <w:rPr>
          <w:rFonts w:asciiTheme="minorHAnsi" w:hAnsiTheme="minorHAnsi" w:cs="Helvetica"/>
          <w:sz w:val="22"/>
          <w:szCs w:val="22"/>
        </w:rPr>
        <w:t>mester one (1) and no lat</w:t>
      </w:r>
      <w:r w:rsidR="00480434">
        <w:rPr>
          <w:rFonts w:asciiTheme="minorHAnsi" w:hAnsiTheme="minorHAnsi" w:cs="Helvetica"/>
          <w:sz w:val="22"/>
          <w:szCs w:val="22"/>
        </w:rPr>
        <w:t>er than eight (8) weeks into se</w:t>
      </w:r>
      <w:r w:rsidRPr="00BB59A7">
        <w:rPr>
          <w:rFonts w:asciiTheme="minorHAnsi" w:hAnsiTheme="minorHAnsi" w:cs="Helvetica"/>
          <w:sz w:val="22"/>
          <w:szCs w:val="22"/>
        </w:rPr>
        <w:t xml:space="preserve">mester three (3) in any given year. </w:t>
      </w:r>
      <w:r>
        <w:rPr>
          <w:rFonts w:asciiTheme="minorHAnsi" w:hAnsiTheme="minorHAnsi" w:cs="Helvetica"/>
          <w:sz w:val="22"/>
          <w:szCs w:val="22"/>
        </w:rPr>
        <w:t xml:space="preserve"> </w:t>
      </w:r>
      <w:r w:rsidRPr="00BB59A7">
        <w:rPr>
          <w:rFonts w:asciiTheme="minorHAnsi" w:hAnsiTheme="minorHAnsi" w:cs="Helvetica"/>
          <w:sz w:val="22"/>
          <w:szCs w:val="22"/>
        </w:rPr>
        <w:t>Meetings are usually held in March and November each calendar year.</w:t>
      </w:r>
    </w:p>
    <w:p w:rsidR="00BB59A7" w:rsidRDefault="00BB59A7" w:rsidP="006A41BB">
      <w:pPr>
        <w:spacing w:after="0" w:line="240" w:lineRule="auto"/>
        <w:ind w:left="720" w:hanging="11"/>
        <w:jc w:val="both"/>
      </w:pPr>
    </w:p>
    <w:p w:rsidR="004B5830" w:rsidRDefault="00C35B5F" w:rsidP="00A30177">
      <w:pPr>
        <w:spacing w:after="0" w:line="240" w:lineRule="auto"/>
        <w:ind w:left="720" w:hanging="720"/>
        <w:jc w:val="both"/>
      </w:pPr>
      <w:r>
        <w:t>5.1</w:t>
      </w:r>
      <w:r w:rsidR="004B5830">
        <w:t>.4</w:t>
      </w:r>
      <w:r w:rsidR="004B5830">
        <w:tab/>
      </w:r>
      <w:r w:rsidR="004B5830" w:rsidRPr="00BB59A7">
        <w:rPr>
          <w:u w:val="single"/>
        </w:rPr>
        <w:t xml:space="preserve">Marketing </w:t>
      </w:r>
      <w:r w:rsidR="00C86FED" w:rsidRPr="00BB59A7">
        <w:rPr>
          <w:u w:val="single"/>
        </w:rPr>
        <w:t xml:space="preserve">Planning </w:t>
      </w:r>
      <w:r w:rsidR="004B5830" w:rsidRPr="00BB59A7">
        <w:rPr>
          <w:u w:val="single"/>
        </w:rPr>
        <w:t>Advisory Committee (MPAC)</w:t>
      </w:r>
    </w:p>
    <w:p w:rsidR="00BB59A7" w:rsidRPr="00BB59A7" w:rsidRDefault="00BB59A7" w:rsidP="00BB59A7">
      <w:pPr>
        <w:autoSpaceDE w:val="0"/>
        <w:autoSpaceDN w:val="0"/>
        <w:adjustRightInd w:val="0"/>
        <w:spacing w:after="0" w:line="240" w:lineRule="auto"/>
        <w:ind w:left="709"/>
        <w:jc w:val="both"/>
        <w:rPr>
          <w:rFonts w:eastAsia="Times New Roman" w:cs="Helvetica"/>
          <w:lang w:eastAsia="en-US"/>
        </w:rPr>
      </w:pPr>
      <w:r w:rsidRPr="00BB59A7">
        <w:rPr>
          <w:rFonts w:eastAsia="Times New Roman" w:cs="Helvetica"/>
          <w:lang w:eastAsia="en-US"/>
        </w:rPr>
        <w:t>MPAC is intended to provide the College’s Marketing and Recruitment Team and the University’s International Office with a formal process through which joint planning and market intelligence sharing may be enhanced.</w:t>
      </w:r>
      <w:r>
        <w:rPr>
          <w:rFonts w:eastAsia="Times New Roman" w:cs="Helvetica"/>
          <w:lang w:eastAsia="en-US"/>
        </w:rPr>
        <w:t xml:space="preserve">  </w:t>
      </w:r>
      <w:r w:rsidRPr="00BB59A7">
        <w:rPr>
          <w:rFonts w:eastAsia="Times New Roman" w:cs="Times New Roman"/>
          <w:lang w:eastAsia="en-US"/>
        </w:rPr>
        <w:t>The role of the MPAC is to ensure that:</w:t>
      </w:r>
    </w:p>
    <w:p w:rsidR="00BB59A7" w:rsidRPr="00BB59A7" w:rsidRDefault="00BB59A7" w:rsidP="005776E0">
      <w:pPr>
        <w:numPr>
          <w:ilvl w:val="0"/>
          <w:numId w:val="34"/>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t</w:t>
      </w:r>
      <w:r w:rsidRPr="00BB59A7">
        <w:rPr>
          <w:rFonts w:eastAsia="Times New Roman" w:cs="Times New Roman"/>
          <w:lang w:eastAsia="en-US"/>
        </w:rPr>
        <w:t>he College’s marketing plan aligns with the strategic intent of the University;</w:t>
      </w:r>
    </w:p>
    <w:p w:rsidR="00BB59A7" w:rsidRPr="00BB59A7" w:rsidRDefault="00BB59A7" w:rsidP="005776E0">
      <w:pPr>
        <w:numPr>
          <w:ilvl w:val="0"/>
          <w:numId w:val="34"/>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t</w:t>
      </w:r>
      <w:r w:rsidRPr="00BB59A7">
        <w:rPr>
          <w:rFonts w:eastAsia="Times New Roman" w:cs="Times New Roman"/>
          <w:lang w:eastAsia="en-US"/>
        </w:rPr>
        <w:t>he University’s marketing plan and planning process takes into account the marketing imperatives made explicit in the College’s marketing plan;</w:t>
      </w:r>
    </w:p>
    <w:p w:rsidR="00BB59A7" w:rsidRPr="00BB59A7" w:rsidRDefault="00BB59A7" w:rsidP="005776E0">
      <w:pPr>
        <w:numPr>
          <w:ilvl w:val="0"/>
          <w:numId w:val="34"/>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t</w:t>
      </w:r>
      <w:r w:rsidRPr="00BB59A7">
        <w:rPr>
          <w:rFonts w:eastAsia="Times New Roman" w:cs="Times New Roman"/>
          <w:lang w:eastAsia="en-US"/>
        </w:rPr>
        <w:t>he opportunity for the individual Marketing Managers in the College and the University to undertake joint tactical planning and implementation activities is facilitated;</w:t>
      </w:r>
    </w:p>
    <w:p w:rsidR="00BB59A7" w:rsidRPr="00BB59A7" w:rsidRDefault="00BB59A7" w:rsidP="005776E0">
      <w:pPr>
        <w:numPr>
          <w:ilvl w:val="0"/>
          <w:numId w:val="34"/>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c</w:t>
      </w:r>
      <w:r w:rsidRPr="00BB59A7">
        <w:rPr>
          <w:rFonts w:eastAsia="Times New Roman" w:cs="Times New Roman"/>
          <w:lang w:eastAsia="en-US"/>
        </w:rPr>
        <w:t>hanges to the corporate brand and positioning of both partners are made known and materials adapted or changed accordingly;</w:t>
      </w:r>
    </w:p>
    <w:p w:rsidR="00BB59A7" w:rsidRPr="00BB59A7" w:rsidRDefault="00BB59A7" w:rsidP="005776E0">
      <w:pPr>
        <w:numPr>
          <w:ilvl w:val="0"/>
          <w:numId w:val="34"/>
        </w:numPr>
        <w:spacing w:before="240" w:after="0" w:line="240" w:lineRule="auto"/>
        <w:ind w:left="1134" w:hanging="425"/>
        <w:contextualSpacing/>
        <w:jc w:val="both"/>
        <w:rPr>
          <w:rFonts w:eastAsia="Times New Roman" w:cs="Times New Roman"/>
          <w:lang w:eastAsia="en-US"/>
        </w:rPr>
      </w:pPr>
      <w:r w:rsidRPr="00BB59A7">
        <w:rPr>
          <w:rFonts w:eastAsia="Times New Roman" w:cs="Times New Roman"/>
          <w:lang w:eastAsia="en-US"/>
        </w:rPr>
        <w:t xml:space="preserve">the two brands </w:t>
      </w:r>
      <w:r>
        <w:rPr>
          <w:rFonts w:eastAsia="Times New Roman" w:cs="Times New Roman"/>
          <w:lang w:eastAsia="en-US"/>
        </w:rPr>
        <w:t>are m</w:t>
      </w:r>
      <w:r w:rsidRPr="00BB59A7">
        <w:rPr>
          <w:rFonts w:eastAsia="Times New Roman" w:cs="Times New Roman"/>
          <w:lang w:eastAsia="en-US"/>
        </w:rPr>
        <w:t>anage</w:t>
      </w:r>
      <w:r>
        <w:rPr>
          <w:rFonts w:eastAsia="Times New Roman" w:cs="Times New Roman"/>
          <w:lang w:eastAsia="en-US"/>
        </w:rPr>
        <w:t>d</w:t>
      </w:r>
      <w:r w:rsidRPr="00BB59A7">
        <w:rPr>
          <w:rFonts w:eastAsia="Times New Roman" w:cs="Times New Roman"/>
          <w:lang w:eastAsia="en-US"/>
        </w:rPr>
        <w:t xml:space="preserve"> in line with the strategic intent of the partnership and the </w:t>
      </w:r>
      <w:r>
        <w:rPr>
          <w:rFonts w:eastAsia="Times New Roman" w:cs="Times New Roman"/>
          <w:lang w:eastAsia="en-US"/>
        </w:rPr>
        <w:t>brand management rules of both p</w:t>
      </w:r>
      <w:r w:rsidRPr="00BB59A7">
        <w:rPr>
          <w:rFonts w:eastAsia="Times New Roman" w:cs="Times New Roman"/>
          <w:lang w:eastAsia="en-US"/>
        </w:rPr>
        <w:t>arties;</w:t>
      </w:r>
    </w:p>
    <w:p w:rsidR="00BB59A7" w:rsidRPr="00BB59A7" w:rsidRDefault="00BB59A7" w:rsidP="005776E0">
      <w:pPr>
        <w:numPr>
          <w:ilvl w:val="0"/>
          <w:numId w:val="34"/>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t</w:t>
      </w:r>
      <w:r w:rsidRPr="00BB59A7">
        <w:rPr>
          <w:rFonts w:eastAsia="Times New Roman" w:cs="Times New Roman"/>
          <w:lang w:eastAsia="en-US"/>
        </w:rPr>
        <w:t>he College remains aware of changes to the University’s marketing process inclusive of management structures;</w:t>
      </w:r>
    </w:p>
    <w:p w:rsidR="00BB59A7" w:rsidRPr="00BB59A7" w:rsidRDefault="00BB59A7" w:rsidP="005776E0">
      <w:pPr>
        <w:numPr>
          <w:ilvl w:val="0"/>
          <w:numId w:val="34"/>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lastRenderedPageBreak/>
        <w:t>m</w:t>
      </w:r>
      <w:r w:rsidRPr="00BB59A7">
        <w:rPr>
          <w:rFonts w:eastAsia="Times New Roman" w:cs="Times New Roman"/>
          <w:lang w:eastAsia="en-US"/>
        </w:rPr>
        <w:t>arketing resources can be spread more effectively;</w:t>
      </w:r>
    </w:p>
    <w:p w:rsidR="00BB59A7" w:rsidRPr="00BB59A7" w:rsidRDefault="00BB59A7" w:rsidP="005776E0">
      <w:pPr>
        <w:numPr>
          <w:ilvl w:val="0"/>
          <w:numId w:val="34"/>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t</w:t>
      </w:r>
      <w:r w:rsidRPr="00BB59A7">
        <w:rPr>
          <w:rFonts w:eastAsia="Times New Roman" w:cs="Times New Roman"/>
          <w:lang w:eastAsia="en-US"/>
        </w:rPr>
        <w:t>raining of staff (University and College) and members of the recruitment network is enabled and enhanced;</w:t>
      </w:r>
    </w:p>
    <w:p w:rsidR="00BB59A7" w:rsidRPr="00BB59A7" w:rsidRDefault="00BB59A7" w:rsidP="005776E0">
      <w:pPr>
        <w:numPr>
          <w:ilvl w:val="0"/>
          <w:numId w:val="34"/>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t</w:t>
      </w:r>
      <w:r w:rsidRPr="00BB59A7">
        <w:rPr>
          <w:rFonts w:eastAsia="Times New Roman" w:cs="Times New Roman"/>
          <w:lang w:eastAsia="en-US"/>
        </w:rPr>
        <w:t>he development and distribution of promotional materials is managed more effectively;</w:t>
      </w:r>
    </w:p>
    <w:p w:rsidR="00BB59A7" w:rsidRPr="00BB59A7" w:rsidRDefault="00BB59A7" w:rsidP="005776E0">
      <w:pPr>
        <w:numPr>
          <w:ilvl w:val="0"/>
          <w:numId w:val="34"/>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a</w:t>
      </w:r>
      <w:r w:rsidRPr="00BB59A7">
        <w:rPr>
          <w:rFonts w:eastAsia="Times New Roman" w:cs="Times New Roman"/>
          <w:lang w:eastAsia="en-US"/>
        </w:rPr>
        <w:t>n annual, joint inbound familiarisation programme can be agreed and resourced; and</w:t>
      </w:r>
    </w:p>
    <w:p w:rsidR="00BB59A7" w:rsidRPr="00BB59A7" w:rsidRDefault="00723FC2" w:rsidP="005776E0">
      <w:pPr>
        <w:numPr>
          <w:ilvl w:val="0"/>
          <w:numId w:val="34"/>
        </w:numPr>
        <w:spacing w:before="240" w:after="0" w:line="240" w:lineRule="auto"/>
        <w:ind w:left="1134" w:hanging="425"/>
        <w:contextualSpacing/>
        <w:jc w:val="both"/>
        <w:rPr>
          <w:rFonts w:eastAsia="Times New Roman" w:cs="Times New Roman"/>
          <w:lang w:eastAsia="en-US"/>
        </w:rPr>
      </w:pPr>
      <w:r>
        <w:rPr>
          <w:rFonts w:eastAsia="Times New Roman" w:cs="Times New Roman"/>
          <w:lang w:eastAsia="en-US"/>
        </w:rPr>
        <w:t>t</w:t>
      </w:r>
      <w:r w:rsidR="00BB59A7" w:rsidRPr="00BB59A7">
        <w:rPr>
          <w:rFonts w:eastAsia="Times New Roman" w:cs="Times New Roman"/>
          <w:lang w:eastAsia="en-US"/>
        </w:rPr>
        <w:t>argets can be set in accord with strategic planning and growth imperatives.</w:t>
      </w:r>
    </w:p>
    <w:p w:rsidR="00BB59A7" w:rsidRPr="00BB59A7" w:rsidRDefault="00BB59A7" w:rsidP="00BB59A7">
      <w:pPr>
        <w:spacing w:after="0" w:line="240" w:lineRule="auto"/>
        <w:ind w:left="709"/>
        <w:jc w:val="both"/>
        <w:rPr>
          <w:rFonts w:eastAsia="Times New Roman" w:cs="Times New Roman"/>
          <w:lang w:eastAsia="en-US"/>
        </w:rPr>
      </w:pPr>
    </w:p>
    <w:p w:rsidR="00BB59A7" w:rsidRPr="00BB59A7" w:rsidRDefault="00BB59A7" w:rsidP="00723FC2">
      <w:pPr>
        <w:autoSpaceDE w:val="0"/>
        <w:autoSpaceDN w:val="0"/>
        <w:adjustRightInd w:val="0"/>
        <w:spacing w:after="0" w:line="240" w:lineRule="auto"/>
        <w:ind w:left="709"/>
        <w:jc w:val="both"/>
        <w:rPr>
          <w:rFonts w:eastAsia="Times New Roman" w:cs="Helvetica"/>
          <w:lang w:eastAsia="en-US"/>
        </w:rPr>
      </w:pPr>
      <w:r w:rsidRPr="00BB59A7">
        <w:rPr>
          <w:rFonts w:eastAsia="Times New Roman" w:cs="Helvetica"/>
          <w:lang w:eastAsia="en-US"/>
        </w:rPr>
        <w:t>The Chair of the MPAC will be the Director of Marketing and Recruitment at the College.</w:t>
      </w:r>
      <w:r w:rsidR="00723FC2">
        <w:rPr>
          <w:rFonts w:eastAsia="Times New Roman" w:cs="Helvetica"/>
          <w:lang w:eastAsia="en-US"/>
        </w:rPr>
        <w:t xml:space="preserve">  Membership will include, from the College, the Senior Marketing Manager, and from the University, the </w:t>
      </w:r>
      <w:r w:rsidRPr="00BB59A7">
        <w:rPr>
          <w:rFonts w:eastAsia="Times New Roman" w:cs="Helvetica"/>
          <w:lang w:eastAsia="en-US"/>
        </w:rPr>
        <w:t>Director/He</w:t>
      </w:r>
      <w:r w:rsidR="00723FC2">
        <w:rPr>
          <w:rFonts w:eastAsia="Times New Roman" w:cs="Helvetica"/>
          <w:lang w:eastAsia="en-US"/>
        </w:rPr>
        <w:t>ad of the International Office.</w:t>
      </w:r>
    </w:p>
    <w:p w:rsidR="00BB59A7" w:rsidRPr="00BB59A7" w:rsidRDefault="00BB59A7" w:rsidP="00BB59A7">
      <w:pPr>
        <w:keepNext/>
        <w:autoSpaceDE w:val="0"/>
        <w:autoSpaceDN w:val="0"/>
        <w:adjustRightInd w:val="0"/>
        <w:spacing w:after="0" w:line="240" w:lineRule="auto"/>
        <w:ind w:left="709"/>
        <w:jc w:val="both"/>
        <w:outlineLvl w:val="1"/>
        <w:rPr>
          <w:rFonts w:eastAsia="Times New Roman" w:cs="Helvetica"/>
          <w:lang w:eastAsia="en-US"/>
        </w:rPr>
      </w:pPr>
    </w:p>
    <w:p w:rsidR="00BB59A7" w:rsidRPr="00BB59A7" w:rsidRDefault="00BB59A7" w:rsidP="00BB59A7">
      <w:pPr>
        <w:autoSpaceDE w:val="0"/>
        <w:autoSpaceDN w:val="0"/>
        <w:adjustRightInd w:val="0"/>
        <w:spacing w:after="0" w:line="240" w:lineRule="auto"/>
        <w:ind w:left="709"/>
        <w:jc w:val="both"/>
        <w:outlineLvl w:val="1"/>
        <w:rPr>
          <w:rFonts w:eastAsia="Times New Roman" w:cs="Helvetica"/>
          <w:lang w:eastAsia="en-US"/>
        </w:rPr>
      </w:pPr>
      <w:r w:rsidRPr="00BB59A7">
        <w:rPr>
          <w:rFonts w:eastAsia="Times New Roman" w:cs="Helvetica"/>
          <w:lang w:eastAsia="en-US"/>
        </w:rPr>
        <w:t>The MPAC will meet at least twice each year: once in late March / early April and once in October/November. Other meetings may occur as initiatives present or as directed by the JSPMB.</w:t>
      </w:r>
    </w:p>
    <w:p w:rsidR="001D4E53" w:rsidRDefault="001D4E53" w:rsidP="008C69A8">
      <w:pPr>
        <w:pStyle w:val="BodyText"/>
        <w:ind w:left="720" w:hanging="720"/>
        <w:jc w:val="both"/>
        <w:rPr>
          <w:rFonts w:asciiTheme="minorHAnsi" w:hAnsiTheme="minorHAnsi" w:cstheme="minorHAnsi"/>
          <w:b w:val="0"/>
          <w:bCs/>
          <w:sz w:val="22"/>
          <w:szCs w:val="22"/>
        </w:rPr>
      </w:pPr>
    </w:p>
    <w:p w:rsidR="00637BE3" w:rsidRDefault="00C35B5F" w:rsidP="00637BE3">
      <w:pPr>
        <w:spacing w:after="0" w:line="240" w:lineRule="auto"/>
        <w:jc w:val="both"/>
      </w:pPr>
      <w:r>
        <w:rPr>
          <w:b/>
        </w:rPr>
        <w:t>5.2</w:t>
      </w:r>
      <w:r w:rsidR="00006C0F">
        <w:rPr>
          <w:b/>
        </w:rPr>
        <w:tab/>
        <w:t>Reporting Lines</w:t>
      </w:r>
    </w:p>
    <w:p w:rsidR="00006C0F" w:rsidRDefault="00006C0F" w:rsidP="00637BE3">
      <w:pPr>
        <w:spacing w:after="0" w:line="240" w:lineRule="auto"/>
        <w:jc w:val="both"/>
      </w:pPr>
    </w:p>
    <w:p w:rsidR="00006C0F" w:rsidRDefault="00006C0F" w:rsidP="00C35B5F">
      <w:pPr>
        <w:spacing w:after="0" w:line="240" w:lineRule="auto"/>
        <w:ind w:left="709"/>
        <w:jc w:val="both"/>
      </w:pPr>
      <w:r>
        <w:t>In terms of the oversight of academic quality and standards in the partnership, the key reporting lines are from the College Learning and Teaching Board to the Academic Advisory Committee</w:t>
      </w:r>
      <w:r w:rsidR="00AD32F9">
        <w:t>, and on to the Joint Strateg</w:t>
      </w:r>
      <w:r w:rsidR="00326C83">
        <w:t>ic Partnership Management Board (see Figure 2).  College reports to AAC are comprehensive and informed by a range of other reports internal to each College including:</w:t>
      </w:r>
    </w:p>
    <w:p w:rsidR="00326C83" w:rsidRPr="00326C83" w:rsidRDefault="00326C83" w:rsidP="00326C83">
      <w:pPr>
        <w:pStyle w:val="ListParagraph"/>
        <w:numPr>
          <w:ilvl w:val="0"/>
          <w:numId w:val="36"/>
        </w:numPr>
        <w:ind w:left="1418" w:hanging="425"/>
        <w:jc w:val="both"/>
        <w:rPr>
          <w:rFonts w:asciiTheme="minorHAnsi" w:hAnsiTheme="minorHAnsi"/>
          <w:sz w:val="22"/>
          <w:szCs w:val="22"/>
          <w:lang w:val="en-US"/>
        </w:rPr>
      </w:pPr>
      <w:r w:rsidRPr="00326C83">
        <w:rPr>
          <w:rFonts w:asciiTheme="minorHAnsi" w:hAnsiTheme="minorHAnsi"/>
          <w:sz w:val="22"/>
          <w:szCs w:val="22"/>
          <w:lang w:val="en-US"/>
        </w:rPr>
        <w:t>Student Census Report (admission monitoring)</w:t>
      </w:r>
    </w:p>
    <w:p w:rsidR="00326C83" w:rsidRPr="00326C83" w:rsidRDefault="00326C83" w:rsidP="00326C83">
      <w:pPr>
        <w:pStyle w:val="ListParagraph"/>
        <w:numPr>
          <w:ilvl w:val="0"/>
          <w:numId w:val="36"/>
        </w:numPr>
        <w:ind w:left="1418" w:hanging="425"/>
        <w:jc w:val="both"/>
        <w:rPr>
          <w:rFonts w:asciiTheme="minorHAnsi" w:hAnsiTheme="minorHAnsi"/>
          <w:sz w:val="22"/>
          <w:szCs w:val="22"/>
          <w:lang w:val="en-US"/>
        </w:rPr>
      </w:pPr>
      <w:r w:rsidRPr="00326C83">
        <w:rPr>
          <w:rFonts w:asciiTheme="minorHAnsi" w:hAnsiTheme="minorHAnsi"/>
          <w:sz w:val="22"/>
          <w:szCs w:val="22"/>
          <w:lang w:val="en-US"/>
        </w:rPr>
        <w:t xml:space="preserve">Student Surveys </w:t>
      </w:r>
    </w:p>
    <w:p w:rsidR="00326C83" w:rsidRPr="00326C83" w:rsidRDefault="00326C83" w:rsidP="00326C83">
      <w:pPr>
        <w:pStyle w:val="ListParagraph"/>
        <w:numPr>
          <w:ilvl w:val="0"/>
          <w:numId w:val="36"/>
        </w:numPr>
        <w:ind w:left="1418" w:hanging="425"/>
        <w:jc w:val="both"/>
        <w:rPr>
          <w:rFonts w:asciiTheme="minorHAnsi" w:hAnsiTheme="minorHAnsi"/>
          <w:sz w:val="22"/>
          <w:szCs w:val="22"/>
          <w:lang w:val="en-US"/>
        </w:rPr>
      </w:pPr>
      <w:r w:rsidRPr="00326C83">
        <w:rPr>
          <w:rFonts w:asciiTheme="minorHAnsi" w:hAnsiTheme="minorHAnsi"/>
          <w:sz w:val="22"/>
          <w:szCs w:val="22"/>
          <w:lang w:val="en-US"/>
        </w:rPr>
        <w:t>Student Grievance Report</w:t>
      </w:r>
    </w:p>
    <w:p w:rsidR="00326C83" w:rsidRPr="00326C83" w:rsidRDefault="00326C83" w:rsidP="00326C83">
      <w:pPr>
        <w:pStyle w:val="ListParagraph"/>
        <w:numPr>
          <w:ilvl w:val="0"/>
          <w:numId w:val="36"/>
        </w:numPr>
        <w:ind w:left="1418" w:hanging="425"/>
        <w:jc w:val="both"/>
        <w:rPr>
          <w:rFonts w:asciiTheme="minorHAnsi" w:hAnsiTheme="minorHAnsi"/>
          <w:sz w:val="22"/>
          <w:szCs w:val="22"/>
          <w:lang w:val="en-US"/>
        </w:rPr>
      </w:pPr>
      <w:r w:rsidRPr="00326C83">
        <w:rPr>
          <w:rFonts w:asciiTheme="minorHAnsi" w:hAnsiTheme="minorHAnsi"/>
          <w:sz w:val="22"/>
          <w:szCs w:val="22"/>
          <w:lang w:val="en-US"/>
        </w:rPr>
        <w:t>Teaching Observation Report</w:t>
      </w:r>
    </w:p>
    <w:p w:rsidR="00326C83" w:rsidRPr="00326C83" w:rsidRDefault="00326C83" w:rsidP="00326C83">
      <w:pPr>
        <w:pStyle w:val="ListParagraph"/>
        <w:numPr>
          <w:ilvl w:val="0"/>
          <w:numId w:val="36"/>
        </w:numPr>
        <w:ind w:left="1418" w:hanging="425"/>
        <w:jc w:val="both"/>
        <w:rPr>
          <w:rFonts w:asciiTheme="minorHAnsi" w:hAnsiTheme="minorHAnsi"/>
          <w:sz w:val="22"/>
          <w:szCs w:val="22"/>
          <w:lang w:val="en-US"/>
        </w:rPr>
      </w:pPr>
      <w:r w:rsidRPr="00326C83">
        <w:rPr>
          <w:rFonts w:asciiTheme="minorHAnsi" w:hAnsiTheme="minorHAnsi"/>
          <w:sz w:val="22"/>
          <w:szCs w:val="22"/>
          <w:lang w:val="en-US"/>
        </w:rPr>
        <w:t>Teaching Professional Development Report</w:t>
      </w:r>
    </w:p>
    <w:p w:rsidR="00326C83" w:rsidRPr="00326C83" w:rsidRDefault="00326C83" w:rsidP="00326C83">
      <w:pPr>
        <w:pStyle w:val="ListParagraph"/>
        <w:numPr>
          <w:ilvl w:val="0"/>
          <w:numId w:val="36"/>
        </w:numPr>
        <w:ind w:left="1418" w:hanging="425"/>
        <w:jc w:val="both"/>
        <w:rPr>
          <w:rFonts w:asciiTheme="minorHAnsi" w:hAnsiTheme="minorHAnsi"/>
          <w:sz w:val="22"/>
          <w:szCs w:val="22"/>
          <w:lang w:val="en-US"/>
        </w:rPr>
      </w:pPr>
      <w:r w:rsidRPr="00326C83">
        <w:rPr>
          <w:rFonts w:asciiTheme="minorHAnsi" w:hAnsiTheme="minorHAnsi"/>
          <w:sz w:val="22"/>
          <w:szCs w:val="22"/>
          <w:lang w:val="en-US"/>
        </w:rPr>
        <w:t xml:space="preserve">Moderation Reports </w:t>
      </w:r>
    </w:p>
    <w:p w:rsidR="00326C83" w:rsidRPr="00326C83" w:rsidRDefault="00326C83" w:rsidP="00326C83">
      <w:pPr>
        <w:pStyle w:val="ListParagraph"/>
        <w:numPr>
          <w:ilvl w:val="0"/>
          <w:numId w:val="36"/>
        </w:numPr>
        <w:ind w:left="1418" w:hanging="425"/>
        <w:jc w:val="both"/>
        <w:rPr>
          <w:rFonts w:asciiTheme="minorHAnsi" w:hAnsiTheme="minorHAnsi"/>
          <w:sz w:val="22"/>
          <w:szCs w:val="22"/>
          <w:lang w:val="en-US"/>
        </w:rPr>
      </w:pPr>
      <w:r w:rsidRPr="00326C83">
        <w:rPr>
          <w:rFonts w:asciiTheme="minorHAnsi" w:hAnsiTheme="minorHAnsi"/>
          <w:sz w:val="22"/>
          <w:szCs w:val="22"/>
          <w:lang w:val="en-US"/>
        </w:rPr>
        <w:t>Boards of Examiners reports</w:t>
      </w:r>
    </w:p>
    <w:p w:rsidR="00326C83" w:rsidRPr="00326C83" w:rsidRDefault="00326C83" w:rsidP="00326C83">
      <w:pPr>
        <w:pStyle w:val="ListParagraph"/>
        <w:numPr>
          <w:ilvl w:val="0"/>
          <w:numId w:val="36"/>
        </w:numPr>
        <w:ind w:left="1418" w:hanging="425"/>
        <w:jc w:val="both"/>
        <w:rPr>
          <w:rFonts w:asciiTheme="minorHAnsi" w:hAnsiTheme="minorHAnsi"/>
          <w:sz w:val="22"/>
          <w:szCs w:val="22"/>
          <w:lang w:val="en-US"/>
        </w:rPr>
      </w:pPr>
      <w:r w:rsidRPr="00326C83">
        <w:rPr>
          <w:rFonts w:asciiTheme="minorHAnsi" w:hAnsiTheme="minorHAnsi"/>
          <w:sz w:val="22"/>
          <w:szCs w:val="22"/>
          <w:lang w:val="en-US"/>
        </w:rPr>
        <w:t>Tracking Data (provided by Host University)</w:t>
      </w:r>
    </w:p>
    <w:p w:rsidR="00326C83" w:rsidRPr="00326C83" w:rsidRDefault="00326C83" w:rsidP="00326C83">
      <w:pPr>
        <w:pStyle w:val="ListParagraph"/>
        <w:numPr>
          <w:ilvl w:val="0"/>
          <w:numId w:val="36"/>
        </w:numPr>
        <w:ind w:left="1418" w:hanging="425"/>
        <w:jc w:val="both"/>
        <w:rPr>
          <w:rFonts w:asciiTheme="minorHAnsi" w:hAnsiTheme="minorHAnsi"/>
          <w:sz w:val="22"/>
          <w:szCs w:val="22"/>
          <w:lang w:val="en-US"/>
        </w:rPr>
      </w:pPr>
      <w:r w:rsidRPr="00326C83">
        <w:rPr>
          <w:rFonts w:asciiTheme="minorHAnsi" w:hAnsiTheme="minorHAnsi"/>
          <w:sz w:val="22"/>
          <w:szCs w:val="22"/>
          <w:lang w:val="en-US"/>
        </w:rPr>
        <w:t>Academic KPIs Report</w:t>
      </w:r>
    </w:p>
    <w:p w:rsidR="00326C83" w:rsidRDefault="00326C83" w:rsidP="00573882">
      <w:pPr>
        <w:spacing w:after="0" w:line="240" w:lineRule="auto"/>
        <w:jc w:val="both"/>
        <w:rPr>
          <w:b/>
        </w:rPr>
      </w:pPr>
    </w:p>
    <w:p w:rsidR="00326C83" w:rsidRDefault="00326C83" w:rsidP="00573882">
      <w:pPr>
        <w:spacing w:after="0" w:line="240" w:lineRule="auto"/>
        <w:jc w:val="both"/>
        <w:rPr>
          <w:b/>
        </w:rPr>
      </w:pPr>
    </w:p>
    <w:p w:rsidR="00326C83" w:rsidRDefault="00326C83" w:rsidP="00326C83">
      <w:pPr>
        <w:spacing w:after="0" w:line="240" w:lineRule="auto"/>
        <w:jc w:val="both"/>
        <w:rPr>
          <w:b/>
        </w:rPr>
      </w:pPr>
      <w:r>
        <w:rPr>
          <w:b/>
        </w:rPr>
        <w:t>6</w:t>
      </w:r>
      <w:r>
        <w:rPr>
          <w:b/>
        </w:rPr>
        <w:tab/>
      </w:r>
      <w:r w:rsidR="00342EC0">
        <w:rPr>
          <w:b/>
        </w:rPr>
        <w:t>GENERAL EDUCATIONAL AIMS</w:t>
      </w:r>
    </w:p>
    <w:p w:rsidR="00326C83" w:rsidRPr="00100AF3" w:rsidRDefault="00326C83" w:rsidP="00326C83">
      <w:pPr>
        <w:spacing w:after="0" w:line="240" w:lineRule="auto"/>
        <w:jc w:val="both"/>
        <w:rPr>
          <w:rFonts w:ascii="Calibri" w:eastAsia="Times New Roman" w:hAnsi="Calibri" w:cs="Arial"/>
          <w:sz w:val="20"/>
          <w:szCs w:val="20"/>
          <w:lang w:val="en-AU" w:eastAsia="en-AU"/>
        </w:rPr>
      </w:pPr>
    </w:p>
    <w:p w:rsidR="00326C83" w:rsidRPr="00100AF3" w:rsidRDefault="00326C83" w:rsidP="00326C83">
      <w:pPr>
        <w:spacing w:after="0" w:line="240" w:lineRule="auto"/>
        <w:ind w:left="709" w:hanging="709"/>
        <w:jc w:val="both"/>
        <w:rPr>
          <w:rFonts w:eastAsia="Times New Roman" w:cs="Arial"/>
          <w:lang w:val="en-AU" w:eastAsia="en-AU"/>
        </w:rPr>
      </w:pPr>
      <w:r w:rsidRPr="00100AF3">
        <w:rPr>
          <w:rFonts w:eastAsia="Times New Roman" w:cs="Arial"/>
          <w:lang w:val="en-AU" w:eastAsia="en-AU"/>
        </w:rPr>
        <w:t>6.1</w:t>
      </w:r>
      <w:r w:rsidRPr="00100AF3">
        <w:rPr>
          <w:rFonts w:eastAsia="Times New Roman" w:cs="Arial"/>
          <w:lang w:val="en-AU" w:eastAsia="en-AU"/>
        </w:rPr>
        <w:tab/>
        <w:t>Navitas has a common set of general educational aims which it seeks to foster in all students on all pathways throughout i</w:t>
      </w:r>
      <w:r>
        <w:rPr>
          <w:rFonts w:eastAsia="Times New Roman" w:cs="Arial"/>
          <w:lang w:val="en-AU" w:eastAsia="en-AU"/>
        </w:rPr>
        <w:t>t</w:t>
      </w:r>
      <w:r w:rsidRPr="00100AF3">
        <w:rPr>
          <w:rFonts w:eastAsia="Times New Roman" w:cs="Arial"/>
          <w:lang w:val="en-AU" w:eastAsia="en-AU"/>
        </w:rPr>
        <w:t>s C</w:t>
      </w:r>
      <w:r>
        <w:rPr>
          <w:rFonts w:eastAsia="Times New Roman" w:cs="Arial"/>
          <w:lang w:val="en-AU" w:eastAsia="en-AU"/>
        </w:rPr>
        <w:t xml:space="preserve">ollege network, which are built in to programme aims, and which guide the strategies and practices adopted in the learning and teaching environment.  </w:t>
      </w:r>
      <w:r w:rsidRPr="00100AF3">
        <w:rPr>
          <w:rFonts w:eastAsia="Times New Roman" w:cs="Arial"/>
          <w:lang w:val="en-AU" w:eastAsia="en-AU"/>
        </w:rPr>
        <w:t xml:space="preserve">The general educational aims </w:t>
      </w:r>
      <w:r>
        <w:rPr>
          <w:rFonts w:eastAsia="Times New Roman" w:cs="Arial"/>
          <w:lang w:val="en-AU" w:eastAsia="en-AU"/>
        </w:rPr>
        <w:t>are that students should develop:</w:t>
      </w:r>
    </w:p>
    <w:p w:rsidR="00326C83" w:rsidRPr="00100AF3" w:rsidRDefault="00326C83" w:rsidP="00326C83">
      <w:pPr>
        <w:spacing w:after="0" w:line="240" w:lineRule="auto"/>
        <w:ind w:left="720"/>
        <w:jc w:val="both"/>
        <w:rPr>
          <w:rFonts w:eastAsia="Times New Roman" w:cs="Arial"/>
          <w:lang w:val="en-AU" w:eastAsia="en-AU"/>
        </w:rPr>
      </w:pPr>
    </w:p>
    <w:p w:rsidR="00326C83" w:rsidRPr="00100AF3" w:rsidRDefault="00326C83" w:rsidP="00480434">
      <w:pPr>
        <w:numPr>
          <w:ilvl w:val="0"/>
          <w:numId w:val="45"/>
        </w:numPr>
        <w:spacing w:after="0" w:line="240" w:lineRule="auto"/>
        <w:ind w:left="1320" w:hanging="330"/>
        <w:jc w:val="both"/>
        <w:rPr>
          <w:rFonts w:eastAsia="Times New Roman" w:cs="Arial"/>
          <w:lang w:val="en-AU" w:eastAsia="en-AU"/>
        </w:rPr>
      </w:pPr>
      <w:r w:rsidRPr="00100AF3">
        <w:rPr>
          <w:rFonts w:eastAsia="Times New Roman" w:cs="Arial"/>
          <w:lang w:val="en-AU" w:eastAsia="en-AU"/>
        </w:rPr>
        <w:t>A willingness to accept responsibility for their own learning thus ensuring that they learn independently using initiative and self-discipline.</w:t>
      </w:r>
    </w:p>
    <w:p w:rsidR="00326C83" w:rsidRPr="00100AF3" w:rsidRDefault="00326C83" w:rsidP="00480434">
      <w:pPr>
        <w:spacing w:after="0" w:line="240" w:lineRule="auto"/>
        <w:ind w:left="1320" w:hanging="330"/>
        <w:jc w:val="both"/>
        <w:rPr>
          <w:rFonts w:eastAsia="Times New Roman" w:cs="Arial"/>
          <w:lang w:val="en-AU" w:eastAsia="en-AU"/>
        </w:rPr>
      </w:pPr>
    </w:p>
    <w:p w:rsidR="00326C83" w:rsidRPr="00100AF3" w:rsidRDefault="00326C83" w:rsidP="00480434">
      <w:pPr>
        <w:numPr>
          <w:ilvl w:val="0"/>
          <w:numId w:val="45"/>
        </w:numPr>
        <w:spacing w:after="0" w:line="240" w:lineRule="auto"/>
        <w:ind w:left="1320" w:hanging="330"/>
        <w:jc w:val="both"/>
        <w:rPr>
          <w:rFonts w:eastAsia="Times New Roman" w:cs="Arial"/>
          <w:lang w:val="en-AU" w:eastAsia="en-AU"/>
        </w:rPr>
      </w:pPr>
      <w:r w:rsidRPr="00100AF3">
        <w:rPr>
          <w:rFonts w:eastAsia="Times New Roman" w:cs="Arial"/>
          <w:lang w:val="en-AU" w:eastAsia="en-AU"/>
        </w:rPr>
        <w:t>A full understanding of and appreciation for the subjects that they undertake to study.</w:t>
      </w:r>
    </w:p>
    <w:p w:rsidR="00326C83" w:rsidRPr="00100AF3" w:rsidRDefault="00326C83" w:rsidP="00480434">
      <w:pPr>
        <w:spacing w:after="0" w:line="240" w:lineRule="auto"/>
        <w:ind w:left="1320" w:hanging="330"/>
        <w:jc w:val="both"/>
        <w:rPr>
          <w:rFonts w:eastAsia="Times New Roman" w:cs="Arial"/>
          <w:lang w:val="en-AU" w:eastAsia="en-AU"/>
        </w:rPr>
      </w:pPr>
    </w:p>
    <w:p w:rsidR="00326C83" w:rsidRPr="00100AF3" w:rsidRDefault="00326C83" w:rsidP="00480434">
      <w:pPr>
        <w:numPr>
          <w:ilvl w:val="0"/>
          <w:numId w:val="45"/>
        </w:numPr>
        <w:spacing w:after="0" w:line="240" w:lineRule="auto"/>
        <w:ind w:left="1320" w:hanging="330"/>
        <w:jc w:val="both"/>
        <w:rPr>
          <w:rFonts w:eastAsia="Times New Roman" w:cs="Arial"/>
          <w:lang w:val="en-AU" w:eastAsia="en-AU"/>
        </w:rPr>
      </w:pPr>
      <w:r w:rsidRPr="00100AF3">
        <w:rPr>
          <w:rFonts w:eastAsia="Times New Roman" w:cs="Arial"/>
          <w:lang w:val="en-AU" w:eastAsia="en-AU"/>
        </w:rPr>
        <w:t>An active and enquiring attitude which leads on to a commitment to lifetime learning.</w:t>
      </w:r>
    </w:p>
    <w:p w:rsidR="00326C83" w:rsidRPr="00100AF3" w:rsidRDefault="00326C83" w:rsidP="00480434">
      <w:pPr>
        <w:spacing w:after="0" w:line="240" w:lineRule="auto"/>
        <w:ind w:left="1320" w:hanging="330"/>
        <w:jc w:val="both"/>
        <w:rPr>
          <w:rFonts w:eastAsia="Times New Roman" w:cs="Arial"/>
          <w:lang w:val="en-AU" w:eastAsia="en-AU"/>
        </w:rPr>
      </w:pPr>
    </w:p>
    <w:p w:rsidR="00326C83" w:rsidRPr="00100AF3" w:rsidRDefault="00326C83" w:rsidP="00480434">
      <w:pPr>
        <w:numPr>
          <w:ilvl w:val="0"/>
          <w:numId w:val="45"/>
        </w:numPr>
        <w:spacing w:after="0" w:line="240" w:lineRule="auto"/>
        <w:ind w:left="1320" w:hanging="330"/>
        <w:jc w:val="both"/>
        <w:rPr>
          <w:rFonts w:eastAsia="Times New Roman" w:cs="Arial"/>
          <w:lang w:val="en-AU" w:eastAsia="en-AU"/>
        </w:rPr>
      </w:pPr>
      <w:r w:rsidRPr="00100AF3">
        <w:rPr>
          <w:rFonts w:eastAsia="Times New Roman" w:cs="Arial"/>
          <w:lang w:val="en-AU" w:eastAsia="en-AU"/>
        </w:rPr>
        <w:t>The ability to adapt and to manage change.</w:t>
      </w:r>
    </w:p>
    <w:p w:rsidR="00326C83" w:rsidRPr="00100AF3" w:rsidRDefault="00326C83" w:rsidP="00480434">
      <w:pPr>
        <w:spacing w:after="0" w:line="240" w:lineRule="auto"/>
        <w:ind w:left="1320" w:hanging="330"/>
        <w:jc w:val="both"/>
        <w:rPr>
          <w:rFonts w:eastAsia="Times New Roman" w:cs="Arial"/>
          <w:lang w:val="en-AU" w:eastAsia="en-AU"/>
        </w:rPr>
      </w:pPr>
    </w:p>
    <w:p w:rsidR="00326C83" w:rsidRPr="00100AF3" w:rsidRDefault="00326C83" w:rsidP="00480434">
      <w:pPr>
        <w:numPr>
          <w:ilvl w:val="0"/>
          <w:numId w:val="45"/>
        </w:numPr>
        <w:spacing w:after="0" w:line="240" w:lineRule="auto"/>
        <w:ind w:left="1320" w:hanging="330"/>
        <w:jc w:val="both"/>
        <w:rPr>
          <w:rFonts w:eastAsia="Times New Roman" w:cs="Arial"/>
          <w:lang w:val="en-AU" w:eastAsia="en-AU"/>
        </w:rPr>
      </w:pPr>
      <w:r w:rsidRPr="00100AF3">
        <w:rPr>
          <w:rFonts w:eastAsia="Times New Roman" w:cs="Arial"/>
          <w:lang w:val="en-AU" w:eastAsia="en-AU"/>
        </w:rPr>
        <w:t>An ability to fully engage their intellectual and imaginative powers, inclusive of the ability to think logically and to be reflective, critical and creative.</w:t>
      </w:r>
    </w:p>
    <w:p w:rsidR="00326C83" w:rsidRPr="00100AF3" w:rsidRDefault="00326C83" w:rsidP="00480434">
      <w:pPr>
        <w:spacing w:after="0" w:line="240" w:lineRule="auto"/>
        <w:ind w:left="1320" w:hanging="330"/>
        <w:jc w:val="both"/>
        <w:rPr>
          <w:rFonts w:eastAsia="Times New Roman" w:cs="Arial"/>
          <w:lang w:val="en-AU" w:eastAsia="en-AU"/>
        </w:rPr>
      </w:pPr>
    </w:p>
    <w:p w:rsidR="00326C83" w:rsidRPr="00100AF3" w:rsidRDefault="00326C83" w:rsidP="00480434">
      <w:pPr>
        <w:numPr>
          <w:ilvl w:val="0"/>
          <w:numId w:val="45"/>
        </w:numPr>
        <w:spacing w:after="0" w:line="240" w:lineRule="auto"/>
        <w:ind w:left="1320" w:hanging="330"/>
        <w:jc w:val="both"/>
        <w:rPr>
          <w:rFonts w:eastAsia="Times New Roman" w:cs="Arial"/>
          <w:lang w:val="en-AU" w:eastAsia="en-AU"/>
        </w:rPr>
      </w:pPr>
      <w:r w:rsidRPr="00100AF3">
        <w:rPr>
          <w:rFonts w:eastAsia="Times New Roman" w:cs="Arial"/>
          <w:lang w:val="en-AU" w:eastAsia="en-AU"/>
        </w:rPr>
        <w:t>An ability to view the subjects that they have studied in a broad intellectual context – addressing issues inclusive of those concerning economic, environmental, ethical, professional and social.</w:t>
      </w:r>
    </w:p>
    <w:p w:rsidR="00326C83" w:rsidRPr="00100AF3" w:rsidRDefault="00326C83" w:rsidP="00480434">
      <w:pPr>
        <w:spacing w:after="0" w:line="240" w:lineRule="auto"/>
        <w:ind w:left="1320" w:hanging="330"/>
        <w:jc w:val="both"/>
        <w:rPr>
          <w:rFonts w:eastAsia="Times New Roman" w:cs="Arial"/>
          <w:lang w:val="en-AU" w:eastAsia="en-AU"/>
        </w:rPr>
      </w:pPr>
    </w:p>
    <w:p w:rsidR="00326C83" w:rsidRPr="00100AF3" w:rsidRDefault="00326C83" w:rsidP="00480434">
      <w:pPr>
        <w:numPr>
          <w:ilvl w:val="0"/>
          <w:numId w:val="45"/>
        </w:numPr>
        <w:spacing w:after="0" w:line="240" w:lineRule="auto"/>
        <w:ind w:left="1320" w:hanging="330"/>
        <w:jc w:val="both"/>
        <w:rPr>
          <w:rFonts w:eastAsia="Times New Roman" w:cs="Arial"/>
          <w:lang w:val="en-AU" w:eastAsia="en-AU"/>
        </w:rPr>
      </w:pPr>
      <w:r w:rsidRPr="00100AF3">
        <w:rPr>
          <w:rFonts w:eastAsia="Times New Roman" w:cs="Arial"/>
          <w:lang w:val="en-AU" w:eastAsia="en-AU"/>
        </w:rPr>
        <w:t>A critical awareness and a regard for the points of view and beliefs of others alongside a sympathetic appreciation of the diversity of educational needs.</w:t>
      </w:r>
    </w:p>
    <w:p w:rsidR="00326C83" w:rsidRPr="00100AF3" w:rsidRDefault="00326C83" w:rsidP="00480434">
      <w:pPr>
        <w:spacing w:after="0" w:line="240" w:lineRule="auto"/>
        <w:ind w:left="1320" w:hanging="330"/>
        <w:jc w:val="both"/>
        <w:rPr>
          <w:rFonts w:eastAsia="Times New Roman" w:cs="Arial"/>
          <w:lang w:val="en-AU" w:eastAsia="en-AU"/>
        </w:rPr>
      </w:pPr>
    </w:p>
    <w:p w:rsidR="00326C83" w:rsidRDefault="00326C83" w:rsidP="00480434">
      <w:pPr>
        <w:numPr>
          <w:ilvl w:val="0"/>
          <w:numId w:val="45"/>
        </w:numPr>
        <w:spacing w:after="0" w:line="240" w:lineRule="auto"/>
        <w:ind w:left="1320" w:hanging="330"/>
        <w:jc w:val="both"/>
        <w:rPr>
          <w:rFonts w:eastAsia="Times New Roman" w:cs="Arial"/>
          <w:lang w:val="en-AU" w:eastAsia="en-AU"/>
        </w:rPr>
      </w:pPr>
      <w:r w:rsidRPr="00100AF3">
        <w:rPr>
          <w:rFonts w:eastAsia="Times New Roman" w:cs="Arial"/>
          <w:lang w:val="en-AU" w:eastAsia="en-AU"/>
        </w:rPr>
        <w:lastRenderedPageBreak/>
        <w:t>A range of skills appropriate to their intended degree pathways at the University, inclusive of:</w:t>
      </w:r>
    </w:p>
    <w:p w:rsidR="003C780A" w:rsidRPr="00100AF3" w:rsidRDefault="003C780A" w:rsidP="003C780A">
      <w:pPr>
        <w:spacing w:after="0" w:line="240" w:lineRule="auto"/>
        <w:ind w:left="1320"/>
        <w:jc w:val="both"/>
        <w:rPr>
          <w:rFonts w:eastAsia="Times New Roman" w:cs="Arial"/>
          <w:lang w:val="en-AU" w:eastAsia="en-AU"/>
        </w:rPr>
      </w:pPr>
    </w:p>
    <w:p w:rsidR="00326C83" w:rsidRPr="00480434" w:rsidRDefault="00326C83" w:rsidP="00480434">
      <w:pPr>
        <w:pStyle w:val="ListParagraph"/>
        <w:numPr>
          <w:ilvl w:val="0"/>
          <w:numId w:val="46"/>
        </w:numPr>
        <w:jc w:val="both"/>
        <w:rPr>
          <w:rFonts w:asciiTheme="minorHAnsi" w:hAnsiTheme="minorHAnsi" w:cs="Arial"/>
          <w:sz w:val="22"/>
          <w:szCs w:val="22"/>
        </w:rPr>
      </w:pPr>
      <w:r w:rsidRPr="00480434">
        <w:rPr>
          <w:rFonts w:asciiTheme="minorHAnsi" w:hAnsiTheme="minorHAnsi" w:cs="Arial"/>
          <w:sz w:val="22"/>
          <w:szCs w:val="22"/>
        </w:rPr>
        <w:t>Communication</w:t>
      </w:r>
    </w:p>
    <w:p w:rsidR="00326C83" w:rsidRPr="00480434" w:rsidRDefault="00326C83" w:rsidP="00480434">
      <w:pPr>
        <w:pStyle w:val="ListParagraph"/>
        <w:numPr>
          <w:ilvl w:val="0"/>
          <w:numId w:val="46"/>
        </w:numPr>
        <w:jc w:val="both"/>
        <w:rPr>
          <w:rFonts w:asciiTheme="minorHAnsi" w:hAnsiTheme="minorHAnsi" w:cs="Arial"/>
          <w:sz w:val="22"/>
          <w:szCs w:val="22"/>
        </w:rPr>
      </w:pPr>
      <w:r w:rsidRPr="00480434">
        <w:rPr>
          <w:rFonts w:asciiTheme="minorHAnsi" w:hAnsiTheme="minorHAnsi" w:cs="Arial"/>
          <w:sz w:val="22"/>
          <w:szCs w:val="22"/>
        </w:rPr>
        <w:t>Self-management</w:t>
      </w:r>
    </w:p>
    <w:p w:rsidR="00326C83" w:rsidRPr="00480434" w:rsidRDefault="00326C83" w:rsidP="00480434">
      <w:pPr>
        <w:pStyle w:val="ListParagraph"/>
        <w:numPr>
          <w:ilvl w:val="0"/>
          <w:numId w:val="46"/>
        </w:numPr>
        <w:jc w:val="both"/>
        <w:rPr>
          <w:rFonts w:asciiTheme="minorHAnsi" w:hAnsiTheme="minorHAnsi" w:cs="Arial"/>
          <w:sz w:val="22"/>
          <w:szCs w:val="22"/>
        </w:rPr>
      </w:pPr>
      <w:r w:rsidRPr="00480434">
        <w:rPr>
          <w:rFonts w:asciiTheme="minorHAnsi" w:hAnsiTheme="minorHAnsi" w:cs="Arial"/>
          <w:sz w:val="22"/>
          <w:szCs w:val="22"/>
        </w:rPr>
        <w:t>Interpersonal skills</w:t>
      </w:r>
    </w:p>
    <w:p w:rsidR="00326C83" w:rsidRPr="00480434" w:rsidRDefault="00326C83" w:rsidP="00480434">
      <w:pPr>
        <w:pStyle w:val="ListParagraph"/>
        <w:numPr>
          <w:ilvl w:val="0"/>
          <w:numId w:val="46"/>
        </w:numPr>
        <w:jc w:val="both"/>
        <w:rPr>
          <w:rFonts w:asciiTheme="minorHAnsi" w:hAnsiTheme="minorHAnsi" w:cs="Arial"/>
          <w:sz w:val="22"/>
          <w:szCs w:val="22"/>
        </w:rPr>
      </w:pPr>
      <w:r w:rsidRPr="00480434">
        <w:rPr>
          <w:rFonts w:asciiTheme="minorHAnsi" w:hAnsiTheme="minorHAnsi" w:cs="Arial"/>
          <w:sz w:val="22"/>
          <w:szCs w:val="22"/>
        </w:rPr>
        <w:t>Intellectual skills</w:t>
      </w:r>
    </w:p>
    <w:p w:rsidR="00326C83" w:rsidRPr="00480434" w:rsidRDefault="00326C83" w:rsidP="00480434">
      <w:pPr>
        <w:pStyle w:val="ListParagraph"/>
        <w:numPr>
          <w:ilvl w:val="0"/>
          <w:numId w:val="46"/>
        </w:numPr>
        <w:jc w:val="both"/>
        <w:rPr>
          <w:rFonts w:asciiTheme="minorHAnsi" w:hAnsiTheme="minorHAnsi" w:cs="Arial"/>
          <w:sz w:val="22"/>
          <w:szCs w:val="22"/>
        </w:rPr>
      </w:pPr>
      <w:r w:rsidRPr="00480434">
        <w:rPr>
          <w:rFonts w:asciiTheme="minorHAnsi" w:hAnsiTheme="minorHAnsi" w:cs="Arial"/>
          <w:sz w:val="22"/>
          <w:szCs w:val="22"/>
        </w:rPr>
        <w:t>Practical/applied skills</w:t>
      </w:r>
    </w:p>
    <w:p w:rsidR="00326C83" w:rsidRPr="00480434" w:rsidRDefault="00326C83" w:rsidP="00480434">
      <w:pPr>
        <w:pStyle w:val="ListParagraph"/>
        <w:numPr>
          <w:ilvl w:val="0"/>
          <w:numId w:val="46"/>
        </w:numPr>
        <w:jc w:val="both"/>
        <w:rPr>
          <w:rFonts w:asciiTheme="minorHAnsi" w:hAnsiTheme="minorHAnsi" w:cs="Arial"/>
          <w:sz w:val="22"/>
          <w:szCs w:val="22"/>
        </w:rPr>
      </w:pPr>
      <w:r w:rsidRPr="00480434">
        <w:rPr>
          <w:rFonts w:asciiTheme="minorHAnsi" w:hAnsiTheme="minorHAnsi" w:cs="Arial"/>
          <w:sz w:val="22"/>
          <w:szCs w:val="22"/>
        </w:rPr>
        <w:t>Transferable skills</w:t>
      </w:r>
    </w:p>
    <w:p w:rsidR="00326C83" w:rsidRPr="00100AF3" w:rsidRDefault="00326C83" w:rsidP="00480434">
      <w:pPr>
        <w:spacing w:after="0" w:line="240" w:lineRule="auto"/>
        <w:ind w:left="1320" w:hanging="330"/>
        <w:jc w:val="both"/>
        <w:rPr>
          <w:rFonts w:eastAsia="Times New Roman" w:cs="Arial"/>
          <w:lang w:val="en-AU" w:eastAsia="en-AU"/>
        </w:rPr>
      </w:pPr>
    </w:p>
    <w:p w:rsidR="00326C83" w:rsidRPr="00100AF3" w:rsidRDefault="00326C83" w:rsidP="00480434">
      <w:pPr>
        <w:numPr>
          <w:ilvl w:val="0"/>
          <w:numId w:val="45"/>
        </w:numPr>
        <w:spacing w:after="0" w:line="240" w:lineRule="auto"/>
        <w:ind w:left="1320" w:hanging="330"/>
        <w:jc w:val="both"/>
        <w:rPr>
          <w:rFonts w:eastAsia="Times New Roman" w:cs="Arial"/>
          <w:lang w:val="en-AU" w:eastAsia="en-AU"/>
        </w:rPr>
      </w:pPr>
      <w:r w:rsidRPr="00100AF3">
        <w:rPr>
          <w:rFonts w:eastAsia="Times New Roman" w:cs="Arial"/>
          <w:lang w:val="en-AU" w:eastAsia="en-AU"/>
        </w:rPr>
        <w:t>A positive approach to learning technologies.</w:t>
      </w:r>
    </w:p>
    <w:p w:rsidR="00326C83" w:rsidRPr="00100AF3" w:rsidRDefault="00326C83" w:rsidP="009B05CB">
      <w:pPr>
        <w:spacing w:after="0" w:line="240" w:lineRule="auto"/>
        <w:jc w:val="both"/>
        <w:rPr>
          <w:rFonts w:eastAsia="Times New Roman" w:cs="Arial"/>
          <w:lang w:val="en-AU" w:eastAsia="en-AU"/>
        </w:rPr>
      </w:pPr>
    </w:p>
    <w:p w:rsidR="00342EC0" w:rsidRDefault="00342EC0" w:rsidP="00326C83">
      <w:pPr>
        <w:spacing w:after="0" w:line="240" w:lineRule="auto"/>
        <w:contextualSpacing/>
        <w:jc w:val="both"/>
        <w:rPr>
          <w:rFonts w:eastAsia="Times New Roman" w:cs="Arial"/>
          <w:bCs/>
          <w:lang w:val="en-AU" w:eastAsia="en-AU"/>
        </w:rPr>
      </w:pPr>
    </w:p>
    <w:p w:rsidR="00342EC0" w:rsidRDefault="00342EC0" w:rsidP="00326C83">
      <w:pPr>
        <w:spacing w:after="0" w:line="240" w:lineRule="auto"/>
        <w:contextualSpacing/>
        <w:jc w:val="both"/>
        <w:rPr>
          <w:rFonts w:eastAsia="Times New Roman" w:cs="Arial"/>
          <w:b/>
          <w:bCs/>
          <w:lang w:val="en-AU" w:eastAsia="en-AU"/>
        </w:rPr>
      </w:pPr>
      <w:r>
        <w:rPr>
          <w:rFonts w:eastAsia="Times New Roman" w:cs="Arial"/>
          <w:b/>
          <w:bCs/>
          <w:lang w:val="en-AU" w:eastAsia="en-AU"/>
        </w:rPr>
        <w:t>7</w:t>
      </w:r>
      <w:r>
        <w:rPr>
          <w:rFonts w:eastAsia="Times New Roman" w:cs="Arial"/>
          <w:b/>
          <w:bCs/>
          <w:lang w:val="en-AU" w:eastAsia="en-AU"/>
        </w:rPr>
        <w:tab/>
        <w:t>Programme Structures</w:t>
      </w:r>
    </w:p>
    <w:p w:rsidR="00342EC0" w:rsidRDefault="00342EC0" w:rsidP="00326C83">
      <w:pPr>
        <w:spacing w:after="0" w:line="240" w:lineRule="auto"/>
        <w:contextualSpacing/>
        <w:jc w:val="both"/>
        <w:rPr>
          <w:rFonts w:eastAsia="Times New Roman" w:cs="Arial"/>
          <w:b/>
          <w:bCs/>
          <w:lang w:val="en-AU" w:eastAsia="en-AU"/>
        </w:rPr>
      </w:pPr>
    </w:p>
    <w:p w:rsidR="00342EC0" w:rsidRDefault="00342EC0" w:rsidP="00326C83">
      <w:pPr>
        <w:spacing w:after="0" w:line="240" w:lineRule="auto"/>
        <w:contextualSpacing/>
        <w:jc w:val="both"/>
        <w:rPr>
          <w:rFonts w:eastAsia="Times New Roman" w:cs="Arial"/>
          <w:b/>
          <w:bCs/>
          <w:lang w:val="en-AU" w:eastAsia="en-AU"/>
        </w:rPr>
      </w:pPr>
      <w:r>
        <w:rPr>
          <w:rFonts w:eastAsia="Times New Roman" w:cs="Arial"/>
          <w:b/>
          <w:bCs/>
          <w:lang w:val="en-AU" w:eastAsia="en-AU"/>
        </w:rPr>
        <w:t>7.1</w:t>
      </w:r>
      <w:r>
        <w:rPr>
          <w:rFonts w:eastAsia="Times New Roman" w:cs="Arial"/>
          <w:b/>
          <w:bCs/>
          <w:lang w:val="en-AU" w:eastAsia="en-AU"/>
        </w:rPr>
        <w:tab/>
        <w:t>Pathways</w:t>
      </w:r>
    </w:p>
    <w:p w:rsidR="00342EC0" w:rsidRPr="00342EC0" w:rsidRDefault="00342EC0" w:rsidP="00326C83">
      <w:pPr>
        <w:spacing w:after="0" w:line="240" w:lineRule="auto"/>
        <w:contextualSpacing/>
        <w:jc w:val="both"/>
        <w:rPr>
          <w:rFonts w:eastAsia="Times New Roman" w:cs="Arial"/>
          <w:b/>
          <w:bCs/>
          <w:lang w:val="en-AU" w:eastAsia="en-AU"/>
        </w:rPr>
      </w:pPr>
    </w:p>
    <w:p w:rsidR="00342EC0" w:rsidRPr="00100AF3" w:rsidRDefault="00342EC0" w:rsidP="00342EC0">
      <w:pPr>
        <w:spacing w:after="0" w:line="240" w:lineRule="auto"/>
        <w:jc w:val="both"/>
        <w:rPr>
          <w:rFonts w:eastAsia="Times New Roman" w:cs="Arial"/>
          <w:lang w:val="en-AU" w:eastAsia="en-AU"/>
        </w:rPr>
      </w:pPr>
      <w:r>
        <w:rPr>
          <w:rFonts w:eastAsia="Times New Roman" w:cs="Arial"/>
          <w:bCs/>
          <w:lang w:val="en-AU" w:eastAsia="en-AU"/>
        </w:rPr>
        <w:t>7.1.1</w:t>
      </w:r>
      <w:r w:rsidR="00326C83" w:rsidRPr="00F2326A">
        <w:rPr>
          <w:rFonts w:eastAsia="Times New Roman" w:cs="Arial"/>
          <w:bCs/>
          <w:lang w:val="en-AU" w:eastAsia="en-AU"/>
        </w:rPr>
        <w:tab/>
      </w:r>
      <w:r w:rsidRPr="00480434">
        <w:rPr>
          <w:rFonts w:eastAsia="Times New Roman" w:cs="Arial"/>
          <w:u w:val="single"/>
          <w:lang w:val="en-AU" w:eastAsia="en-AU"/>
        </w:rPr>
        <w:t>Pathway Definition</w:t>
      </w:r>
    </w:p>
    <w:p w:rsidR="00342EC0" w:rsidRDefault="00342EC0" w:rsidP="00342EC0">
      <w:pPr>
        <w:spacing w:after="0" w:line="240" w:lineRule="auto"/>
        <w:ind w:left="720"/>
        <w:jc w:val="both"/>
        <w:rPr>
          <w:rFonts w:cs="Calibri"/>
        </w:rPr>
      </w:pPr>
      <w:r w:rsidRPr="00100AF3">
        <w:rPr>
          <w:rFonts w:cs="Calibri"/>
        </w:rPr>
        <w:t xml:space="preserve">A ‘pathway’ is a single course of study that ends in a degree qualification from a </w:t>
      </w:r>
      <w:r>
        <w:rPr>
          <w:rFonts w:cs="Calibri"/>
        </w:rPr>
        <w:t>Partner U</w:t>
      </w:r>
      <w:r w:rsidRPr="00100AF3">
        <w:rPr>
          <w:rFonts w:cs="Calibri"/>
        </w:rPr>
        <w:t xml:space="preserve">niversity. It is comprised of a number of stages of study that are undertaken on the </w:t>
      </w:r>
      <w:r>
        <w:rPr>
          <w:rFonts w:cs="Calibri"/>
        </w:rPr>
        <w:t>Partner U</w:t>
      </w:r>
      <w:r w:rsidRPr="00100AF3">
        <w:rPr>
          <w:rFonts w:cs="Calibri"/>
        </w:rPr>
        <w:t xml:space="preserve">niversity’s campus. Stages are delivered in partnership between a college and its </w:t>
      </w:r>
      <w:r>
        <w:rPr>
          <w:rFonts w:cs="Calibri"/>
        </w:rPr>
        <w:t>Partner U</w:t>
      </w:r>
      <w:r w:rsidRPr="00100AF3">
        <w:rPr>
          <w:rFonts w:cs="Calibri"/>
        </w:rPr>
        <w:t>niversity. Progress from each stage (level) to the next is based upon standard progression criteria.</w:t>
      </w:r>
    </w:p>
    <w:p w:rsidR="00342EC0" w:rsidRPr="00573882" w:rsidRDefault="009B05CB" w:rsidP="009B05CB">
      <w:pPr>
        <w:spacing w:after="0" w:line="240" w:lineRule="auto"/>
        <w:ind w:left="720" w:hanging="720"/>
        <w:jc w:val="both"/>
        <w:rPr>
          <w:rFonts w:cs="Calibri"/>
        </w:rPr>
      </w:pPr>
      <w:r>
        <w:rPr>
          <w:rFonts w:cs="Calibri"/>
        </w:rPr>
        <w:t>7.1</w:t>
      </w:r>
      <w:r w:rsidR="00342EC0">
        <w:rPr>
          <w:rFonts w:cs="Calibri"/>
        </w:rPr>
        <w:t>.2</w:t>
      </w:r>
      <w:r w:rsidR="00342EC0" w:rsidRPr="00100AF3">
        <w:rPr>
          <w:rFonts w:cs="Calibri"/>
        </w:rPr>
        <w:tab/>
      </w:r>
      <w:r w:rsidR="00342EC0">
        <w:rPr>
          <w:rFonts w:cs="Calibri"/>
        </w:rPr>
        <w:t>The pathway</w:t>
      </w:r>
      <w:r w:rsidR="00342EC0" w:rsidRPr="00100AF3">
        <w:rPr>
          <w:rFonts w:cs="Calibri"/>
        </w:rPr>
        <w:t xml:space="preserve"> </w:t>
      </w:r>
      <w:r w:rsidR="00342EC0">
        <w:rPr>
          <w:rFonts w:cs="Calibri"/>
        </w:rPr>
        <w:t>model</w:t>
      </w:r>
      <w:r w:rsidR="00342EC0" w:rsidRPr="00100AF3">
        <w:rPr>
          <w:rFonts w:cs="Calibri"/>
        </w:rPr>
        <w:t xml:space="preserve"> ensures that students are provided with a single Offer of Admission to their chosen degree award. </w:t>
      </w:r>
      <w:r w:rsidR="00342EC0">
        <w:rPr>
          <w:rFonts w:cs="Calibri"/>
        </w:rPr>
        <w:t xml:space="preserve"> </w:t>
      </w:r>
      <w:r w:rsidR="00342EC0" w:rsidRPr="00100AF3">
        <w:rPr>
          <w:rFonts w:cs="Calibri"/>
        </w:rPr>
        <w:t>Further, all Offers of Admission are based on an individual student’s learning background, academic qualifications and level of English language competency.</w:t>
      </w:r>
      <w:r w:rsidR="00342EC0">
        <w:rPr>
          <w:rFonts w:cs="Calibri"/>
        </w:rPr>
        <w:t xml:space="preserve"> </w:t>
      </w:r>
      <w:r w:rsidR="00342EC0" w:rsidRPr="00100AF3">
        <w:rPr>
          <w:rFonts w:cs="Calibri"/>
        </w:rPr>
        <w:t xml:space="preserve"> </w:t>
      </w:r>
      <w:r w:rsidRPr="00573882">
        <w:t xml:space="preserve">Depending on </w:t>
      </w:r>
      <w:r>
        <w:t>their</w:t>
      </w:r>
      <w:r w:rsidRPr="00573882">
        <w:t xml:space="preserve"> educational background, </w:t>
      </w:r>
      <w:r>
        <w:t>students may undertake one or two academic stages of study with a C</w:t>
      </w:r>
      <w:r w:rsidRPr="00573882">
        <w:t>ollege prior</w:t>
      </w:r>
      <w:r>
        <w:t xml:space="preserve"> to progression to the </w:t>
      </w:r>
      <w:r w:rsidRPr="00573882">
        <w:t xml:space="preserve">stages of study </w:t>
      </w:r>
      <w:r>
        <w:t>delivered by the Partner University</w:t>
      </w:r>
      <w:r w:rsidRPr="00573882">
        <w:t xml:space="preserve"> that lead</w:t>
      </w:r>
      <w:r>
        <w:t>s</w:t>
      </w:r>
      <w:r w:rsidRPr="00573882">
        <w:t xml:space="preserve"> to a final degree award. </w:t>
      </w:r>
      <w:r>
        <w:t xml:space="preserve"> The</w:t>
      </w:r>
      <w:r w:rsidRPr="00573882">
        <w:t xml:space="preserve"> model provides students with an opportunity to demonstrate that the</w:t>
      </w:r>
      <w:r>
        <w:t>y have the requisite knowledge, understanding</w:t>
      </w:r>
      <w:r w:rsidRPr="00573882">
        <w:t xml:space="preserve"> </w:t>
      </w:r>
      <w:r>
        <w:t xml:space="preserve">and skills </w:t>
      </w:r>
      <w:r w:rsidRPr="00573882">
        <w:t>to study successfully at university level in an environment focused on leveraging existing knowledge and skills</w:t>
      </w:r>
      <w:r>
        <w:t>,</w:t>
      </w:r>
      <w:r w:rsidRPr="009B05CB">
        <w:t xml:space="preserve"> </w:t>
      </w:r>
      <w:r>
        <w:t>and offering</w:t>
      </w:r>
      <w:r w:rsidRPr="00573882">
        <w:t xml:space="preserve"> a more managed approach to study and learning for international students whilst enabling them to adjust to </w:t>
      </w:r>
      <w:r>
        <w:t xml:space="preserve">the UK educational </w:t>
      </w:r>
      <w:r w:rsidRPr="00573882">
        <w:t>culture</w:t>
      </w:r>
      <w:r>
        <w:t xml:space="preserve"> specific to the Partner University</w:t>
      </w:r>
      <w:r w:rsidRPr="00573882">
        <w:t xml:space="preserve">. </w:t>
      </w:r>
      <w:r>
        <w:t xml:space="preserve"> </w:t>
      </w:r>
    </w:p>
    <w:p w:rsidR="00342EC0" w:rsidRDefault="00342EC0" w:rsidP="00342EC0">
      <w:pPr>
        <w:spacing w:after="0" w:line="240" w:lineRule="auto"/>
        <w:jc w:val="both"/>
      </w:pPr>
    </w:p>
    <w:p w:rsidR="00131DF3" w:rsidRPr="005116EF" w:rsidRDefault="00131DF3" w:rsidP="00131DF3">
      <w:pPr>
        <w:spacing w:after="0" w:line="240" w:lineRule="auto"/>
        <w:jc w:val="both"/>
        <w:rPr>
          <w:b/>
        </w:rPr>
      </w:pPr>
      <w:r w:rsidRPr="005116EF">
        <w:rPr>
          <w:b/>
        </w:rPr>
        <w:t>7.2</w:t>
      </w:r>
      <w:r w:rsidRPr="005116EF">
        <w:rPr>
          <w:b/>
        </w:rPr>
        <w:tab/>
        <w:t>Stages</w:t>
      </w:r>
    </w:p>
    <w:p w:rsidR="00131DF3" w:rsidRDefault="00131DF3" w:rsidP="00131DF3">
      <w:pPr>
        <w:spacing w:after="0" w:line="240" w:lineRule="auto"/>
        <w:jc w:val="both"/>
      </w:pPr>
    </w:p>
    <w:p w:rsidR="00131DF3" w:rsidRDefault="00131DF3" w:rsidP="00131DF3">
      <w:pPr>
        <w:spacing w:after="0" w:line="240" w:lineRule="auto"/>
        <w:ind w:left="720" w:hanging="720"/>
        <w:jc w:val="both"/>
        <w:rPr>
          <w:rFonts w:ascii="Calibri" w:eastAsia="Times New Roman" w:hAnsi="Calibri" w:cs="Arial"/>
          <w:lang w:val="en-AU" w:eastAsia="en-AU"/>
        </w:rPr>
      </w:pPr>
      <w:r>
        <w:rPr>
          <w:rFonts w:ascii="Calibri" w:eastAsia="Times New Roman" w:hAnsi="Calibri" w:cs="Arial"/>
          <w:lang w:val="en-AU" w:eastAsia="en-AU"/>
        </w:rPr>
        <w:t>7.2.1</w:t>
      </w:r>
      <w:r>
        <w:rPr>
          <w:rFonts w:ascii="Calibri" w:eastAsia="Times New Roman" w:hAnsi="Calibri" w:cs="Arial"/>
          <w:lang w:val="en-AU" w:eastAsia="en-AU"/>
        </w:rPr>
        <w:tab/>
        <w:t xml:space="preserve">Each pathway is made up of a series of stages.  </w:t>
      </w:r>
      <w:r w:rsidRPr="00EB4887">
        <w:rPr>
          <w:rFonts w:ascii="Calibri" w:eastAsia="Times New Roman" w:hAnsi="Calibri" w:cs="Arial"/>
          <w:lang w:val="en-AU" w:eastAsia="en-AU"/>
        </w:rPr>
        <w:t xml:space="preserve">A stage </w:t>
      </w:r>
      <w:r>
        <w:rPr>
          <w:rFonts w:ascii="Calibri" w:eastAsia="Times New Roman" w:hAnsi="Calibri" w:cs="Arial"/>
          <w:lang w:val="en-AU" w:eastAsia="en-AU"/>
        </w:rPr>
        <w:t>is a</w:t>
      </w:r>
      <w:r w:rsidRPr="00EB4887">
        <w:rPr>
          <w:rFonts w:ascii="Calibri" w:eastAsia="Times New Roman" w:hAnsi="Calibri" w:cs="Arial"/>
          <w:lang w:val="en-AU" w:eastAsia="en-AU"/>
        </w:rPr>
        <w:t xml:space="preserve"> </w:t>
      </w:r>
      <w:r>
        <w:rPr>
          <w:rFonts w:ascii="Calibri" w:eastAsia="Times New Roman" w:hAnsi="Calibri" w:cs="Arial"/>
          <w:lang w:val="en-AU" w:eastAsia="en-AU"/>
        </w:rPr>
        <w:t>coherent block of study which lasts for one or more semesters, and is comprised of a prescribed set of modules.  A stage equates to a level of study in higher education and each stage has progression criteria and regulations which must be met before a student progresses from one stage to the next.</w:t>
      </w:r>
    </w:p>
    <w:p w:rsidR="00131DF3" w:rsidRPr="00EB4887" w:rsidRDefault="00131DF3" w:rsidP="00131DF3">
      <w:pPr>
        <w:spacing w:after="0" w:line="240" w:lineRule="auto"/>
        <w:ind w:left="720" w:hanging="720"/>
        <w:jc w:val="both"/>
        <w:rPr>
          <w:rFonts w:ascii="Calibri" w:eastAsia="Times New Roman" w:hAnsi="Calibri" w:cs="Arial"/>
          <w:lang w:val="en-AU" w:eastAsia="en-AU"/>
        </w:rPr>
      </w:pPr>
      <w:r>
        <w:rPr>
          <w:rFonts w:ascii="Calibri" w:eastAsia="Times New Roman" w:hAnsi="Calibri" w:cs="Arial"/>
          <w:lang w:val="en-AU" w:eastAsia="en-AU"/>
        </w:rPr>
        <w:t>7.2.2</w:t>
      </w:r>
      <w:r>
        <w:rPr>
          <w:rFonts w:ascii="Calibri" w:eastAsia="Times New Roman" w:hAnsi="Calibri" w:cs="Arial"/>
          <w:lang w:val="en-AU" w:eastAsia="en-AU"/>
        </w:rPr>
        <w:tab/>
        <w:t>Stages</w:t>
      </w:r>
      <w:r w:rsidRPr="004D04E6">
        <w:rPr>
          <w:rFonts w:ascii="Calibri" w:eastAsia="Times New Roman" w:hAnsi="Calibri" w:cs="Arial"/>
          <w:lang w:val="en-AU" w:eastAsia="en-AU"/>
        </w:rPr>
        <w:t xml:space="preserve"> and their nominal progression </w:t>
      </w:r>
      <w:r w:rsidR="003C780A" w:rsidRPr="004D04E6">
        <w:rPr>
          <w:rFonts w:ascii="Calibri" w:eastAsia="Times New Roman" w:hAnsi="Calibri" w:cs="Arial"/>
          <w:lang w:val="en-AU" w:eastAsia="en-AU"/>
        </w:rPr>
        <w:t>criteria</w:t>
      </w:r>
      <w:r w:rsidRPr="004D04E6">
        <w:rPr>
          <w:rFonts w:ascii="Calibri" w:eastAsia="Times New Roman" w:hAnsi="Calibri" w:cs="Arial"/>
          <w:lang w:val="en-AU" w:eastAsia="en-AU"/>
        </w:rPr>
        <w:t xml:space="preserve"> </w:t>
      </w:r>
      <w:r>
        <w:rPr>
          <w:rFonts w:ascii="Calibri" w:eastAsia="Times New Roman" w:hAnsi="Calibri" w:cs="Arial"/>
          <w:lang w:val="en-AU" w:eastAsia="en-AU"/>
        </w:rPr>
        <w:t>are agreed with the P</w:t>
      </w:r>
      <w:r w:rsidRPr="004D04E6">
        <w:rPr>
          <w:rFonts w:ascii="Calibri" w:eastAsia="Times New Roman" w:hAnsi="Calibri" w:cs="Arial"/>
          <w:lang w:val="en-AU" w:eastAsia="en-AU"/>
        </w:rPr>
        <w:t xml:space="preserve">artner University </w:t>
      </w:r>
      <w:r>
        <w:rPr>
          <w:rFonts w:ascii="Calibri" w:eastAsia="Times New Roman" w:hAnsi="Calibri" w:cs="Arial"/>
          <w:lang w:val="en-AU" w:eastAsia="en-AU"/>
        </w:rPr>
        <w:t xml:space="preserve">as part of the programme design process (see NPR QS1) </w:t>
      </w:r>
      <w:r w:rsidRPr="004D04E6">
        <w:rPr>
          <w:rFonts w:ascii="Calibri" w:eastAsia="Times New Roman" w:hAnsi="Calibri" w:cs="Arial"/>
          <w:lang w:val="en-AU" w:eastAsia="en-AU"/>
        </w:rPr>
        <w:t>to ensure that they complement and support the educational continuum leading to a final University degree award.</w:t>
      </w:r>
      <w:r>
        <w:rPr>
          <w:rFonts w:ascii="Calibri" w:eastAsia="Times New Roman" w:hAnsi="Calibri" w:cs="Arial"/>
          <w:lang w:val="en-AU" w:eastAsia="en-AU"/>
        </w:rPr>
        <w:t xml:space="preserve"> </w:t>
      </w:r>
      <w:r w:rsidRPr="004D04E6">
        <w:rPr>
          <w:rFonts w:ascii="Calibri" w:eastAsia="Times New Roman" w:hAnsi="Calibri" w:cs="Arial"/>
          <w:lang w:val="en-AU" w:eastAsia="en-AU"/>
        </w:rPr>
        <w:t xml:space="preserve"> </w:t>
      </w:r>
      <w:r w:rsidRPr="00EB4887">
        <w:rPr>
          <w:rFonts w:ascii="Calibri" w:eastAsia="Times New Roman" w:hAnsi="Calibri" w:cs="Arial"/>
          <w:lang w:val="en-AU" w:eastAsia="en-AU"/>
        </w:rPr>
        <w:t xml:space="preserve">The pathway frameworks that must be adhered to in programme design are summarised in </w:t>
      </w:r>
      <w:r>
        <w:rPr>
          <w:rFonts w:ascii="Calibri" w:eastAsia="Times New Roman" w:hAnsi="Calibri" w:cs="Arial"/>
          <w:lang w:val="en-AU" w:eastAsia="en-AU"/>
        </w:rPr>
        <w:t>Figure 6.</w:t>
      </w:r>
    </w:p>
    <w:p w:rsidR="00342EC0" w:rsidRDefault="00050567" w:rsidP="009B05CB">
      <w:pPr>
        <w:spacing w:after="0" w:line="240" w:lineRule="auto"/>
        <w:ind w:left="720" w:hanging="720"/>
        <w:jc w:val="both"/>
      </w:pPr>
      <w:r>
        <w:t>7.2.3</w:t>
      </w:r>
      <w:r w:rsidR="00342EC0">
        <w:tab/>
        <w:t>The undergraduate pathway frameworks are summarised in Figure 5.</w:t>
      </w:r>
    </w:p>
    <w:p w:rsidR="00131DF3" w:rsidRDefault="00131DF3" w:rsidP="00342EC0">
      <w:pPr>
        <w:tabs>
          <w:tab w:val="left" w:pos="851"/>
        </w:tabs>
        <w:spacing w:after="0" w:line="240" w:lineRule="auto"/>
        <w:ind w:left="709"/>
        <w:jc w:val="both"/>
        <w:rPr>
          <w:rFonts w:eastAsia="Times New Roman" w:cs="Times New Roman"/>
          <w:b/>
        </w:rPr>
      </w:pPr>
    </w:p>
    <w:p w:rsidR="00342EC0" w:rsidRPr="00221297" w:rsidRDefault="00342EC0" w:rsidP="00342EC0">
      <w:pPr>
        <w:tabs>
          <w:tab w:val="left" w:pos="851"/>
        </w:tabs>
        <w:spacing w:after="0" w:line="240" w:lineRule="auto"/>
        <w:ind w:left="709"/>
        <w:jc w:val="both"/>
        <w:rPr>
          <w:rFonts w:eastAsia="Times New Roman" w:cs="Times New Roman"/>
        </w:rPr>
      </w:pPr>
      <w:r w:rsidRPr="00221297">
        <w:rPr>
          <w:rFonts w:eastAsia="Times New Roman" w:cs="Times New Roman"/>
        </w:rPr>
        <w:t>England and Wales</w:t>
      </w:r>
    </w:p>
    <w:tbl>
      <w:tblPr>
        <w:tblStyle w:val="TableGrid1"/>
        <w:tblW w:w="8996" w:type="dxa"/>
        <w:tblInd w:w="817" w:type="dxa"/>
        <w:tblLook w:val="04A0" w:firstRow="1" w:lastRow="0" w:firstColumn="1" w:lastColumn="0" w:noHBand="0" w:noVBand="1"/>
      </w:tblPr>
      <w:tblGrid>
        <w:gridCol w:w="2249"/>
        <w:gridCol w:w="2249"/>
        <w:gridCol w:w="2249"/>
        <w:gridCol w:w="2249"/>
      </w:tblGrid>
      <w:tr w:rsidR="00342EC0" w:rsidRPr="00221297" w:rsidTr="003E6E1F">
        <w:tc>
          <w:tcPr>
            <w:tcW w:w="4498" w:type="dxa"/>
            <w:gridSpan w:val="2"/>
            <w:shd w:val="clear" w:color="auto" w:fill="EAF1DD" w:themeFill="accent3" w:themeFillTint="33"/>
          </w:tcPr>
          <w:p w:rsidR="00342EC0" w:rsidRPr="00401965" w:rsidRDefault="00342EC0" w:rsidP="003E6E1F">
            <w:pPr>
              <w:tabs>
                <w:tab w:val="left" w:pos="851"/>
              </w:tabs>
              <w:rPr>
                <w:rFonts w:asciiTheme="minorHAnsi" w:hAnsiTheme="minorHAnsi"/>
                <w:b/>
                <w:color w:val="595959" w:themeColor="text1" w:themeTint="A6"/>
              </w:rPr>
            </w:pPr>
            <w:r w:rsidRPr="00401965">
              <w:rPr>
                <w:rFonts w:asciiTheme="minorHAnsi" w:hAnsiTheme="minorHAnsi"/>
                <w:b/>
                <w:color w:val="595959" w:themeColor="text1" w:themeTint="A6"/>
              </w:rPr>
              <w:t>Navitas College Provision</w:t>
            </w:r>
          </w:p>
        </w:tc>
        <w:tc>
          <w:tcPr>
            <w:tcW w:w="4498" w:type="dxa"/>
            <w:gridSpan w:val="2"/>
            <w:shd w:val="clear" w:color="auto" w:fill="EAF1DD" w:themeFill="accent3" w:themeFillTint="33"/>
          </w:tcPr>
          <w:p w:rsidR="00342EC0" w:rsidRPr="00401965" w:rsidRDefault="00342EC0" w:rsidP="003E6E1F">
            <w:pPr>
              <w:tabs>
                <w:tab w:val="left" w:pos="851"/>
              </w:tabs>
              <w:ind w:left="-4"/>
              <w:rPr>
                <w:rFonts w:asciiTheme="minorHAnsi" w:hAnsiTheme="minorHAnsi"/>
                <w:b/>
                <w:color w:val="595959" w:themeColor="text1" w:themeTint="A6"/>
              </w:rPr>
            </w:pPr>
            <w:r w:rsidRPr="00401965">
              <w:rPr>
                <w:rFonts w:asciiTheme="minorHAnsi" w:hAnsiTheme="minorHAnsi"/>
                <w:b/>
                <w:color w:val="595959" w:themeColor="text1" w:themeTint="A6"/>
              </w:rPr>
              <w:t>University Provision</w:t>
            </w:r>
          </w:p>
        </w:tc>
      </w:tr>
      <w:tr w:rsidR="00342EC0" w:rsidRPr="00221297" w:rsidTr="003E6E1F">
        <w:tc>
          <w:tcPr>
            <w:tcW w:w="2249" w:type="dxa"/>
          </w:tcPr>
          <w:p w:rsidR="00342EC0" w:rsidRPr="00401965" w:rsidRDefault="00342EC0" w:rsidP="003E6E1F">
            <w:pPr>
              <w:tabs>
                <w:tab w:val="left" w:pos="851"/>
              </w:tabs>
              <w:jc w:val="center"/>
              <w:rPr>
                <w:rFonts w:asciiTheme="minorHAnsi" w:hAnsiTheme="minorHAnsi"/>
              </w:rPr>
            </w:pPr>
            <w:r w:rsidRPr="00401965">
              <w:rPr>
                <w:rFonts w:asciiTheme="minorHAnsi" w:hAnsiTheme="minorHAnsi"/>
              </w:rPr>
              <w:t>Stage 1</w:t>
            </w:r>
          </w:p>
        </w:tc>
        <w:tc>
          <w:tcPr>
            <w:tcW w:w="2249" w:type="dxa"/>
          </w:tcPr>
          <w:p w:rsidR="00342EC0" w:rsidRPr="00401965" w:rsidRDefault="00342EC0" w:rsidP="003E6E1F">
            <w:pPr>
              <w:tabs>
                <w:tab w:val="left" w:pos="851"/>
              </w:tabs>
              <w:jc w:val="center"/>
              <w:rPr>
                <w:rFonts w:asciiTheme="minorHAnsi" w:hAnsiTheme="minorHAnsi"/>
              </w:rPr>
            </w:pPr>
            <w:r w:rsidRPr="00401965">
              <w:rPr>
                <w:rFonts w:asciiTheme="minorHAnsi" w:hAnsiTheme="minorHAnsi"/>
              </w:rPr>
              <w:t>Stage 2</w:t>
            </w:r>
          </w:p>
        </w:tc>
        <w:tc>
          <w:tcPr>
            <w:tcW w:w="2249" w:type="dxa"/>
          </w:tcPr>
          <w:p w:rsidR="00342EC0" w:rsidRPr="00401965" w:rsidRDefault="00342EC0" w:rsidP="003E6E1F">
            <w:pPr>
              <w:tabs>
                <w:tab w:val="left" w:pos="851"/>
              </w:tabs>
              <w:ind w:left="-4"/>
              <w:jc w:val="center"/>
              <w:rPr>
                <w:rFonts w:asciiTheme="minorHAnsi" w:hAnsiTheme="minorHAnsi"/>
              </w:rPr>
            </w:pPr>
            <w:r w:rsidRPr="00401965">
              <w:rPr>
                <w:rFonts w:asciiTheme="minorHAnsi" w:hAnsiTheme="minorHAnsi"/>
              </w:rPr>
              <w:t>Stage 3</w:t>
            </w:r>
          </w:p>
        </w:tc>
        <w:tc>
          <w:tcPr>
            <w:tcW w:w="2249" w:type="dxa"/>
          </w:tcPr>
          <w:p w:rsidR="00342EC0" w:rsidRPr="00401965" w:rsidRDefault="00342EC0" w:rsidP="003E6E1F">
            <w:pPr>
              <w:tabs>
                <w:tab w:val="left" w:pos="851"/>
              </w:tabs>
              <w:ind w:left="15"/>
              <w:jc w:val="center"/>
              <w:rPr>
                <w:rFonts w:asciiTheme="minorHAnsi" w:hAnsiTheme="minorHAnsi"/>
              </w:rPr>
            </w:pPr>
            <w:r w:rsidRPr="00401965">
              <w:rPr>
                <w:rFonts w:asciiTheme="minorHAnsi" w:hAnsiTheme="minorHAnsi"/>
              </w:rPr>
              <w:t>Stage 4</w:t>
            </w:r>
          </w:p>
        </w:tc>
      </w:tr>
      <w:tr w:rsidR="00342EC0" w:rsidRPr="00221297" w:rsidTr="003E6E1F">
        <w:tc>
          <w:tcPr>
            <w:tcW w:w="2249" w:type="dxa"/>
          </w:tcPr>
          <w:p w:rsidR="00342EC0" w:rsidRPr="00401965" w:rsidRDefault="00342EC0" w:rsidP="003E6E1F">
            <w:pPr>
              <w:tabs>
                <w:tab w:val="left" w:pos="851"/>
              </w:tabs>
              <w:jc w:val="center"/>
              <w:rPr>
                <w:rFonts w:asciiTheme="minorHAnsi" w:hAnsiTheme="minorHAnsi"/>
              </w:rPr>
            </w:pPr>
            <w:r w:rsidRPr="00401965">
              <w:rPr>
                <w:rFonts w:asciiTheme="minorHAnsi" w:hAnsiTheme="minorHAnsi"/>
              </w:rPr>
              <w:t xml:space="preserve">University </w:t>
            </w:r>
            <w:r w:rsidR="00581AEB">
              <w:rPr>
                <w:rFonts w:asciiTheme="minorHAnsi" w:hAnsiTheme="minorHAnsi"/>
              </w:rPr>
              <w:t>NQF 3</w:t>
            </w:r>
          </w:p>
          <w:p w:rsidR="00342EC0" w:rsidRPr="00401965" w:rsidRDefault="00342EC0" w:rsidP="003E6E1F">
            <w:pPr>
              <w:tabs>
                <w:tab w:val="left" w:pos="851"/>
              </w:tabs>
              <w:jc w:val="center"/>
              <w:rPr>
                <w:rFonts w:asciiTheme="minorHAnsi" w:hAnsiTheme="minorHAnsi"/>
              </w:rPr>
            </w:pPr>
          </w:p>
        </w:tc>
        <w:tc>
          <w:tcPr>
            <w:tcW w:w="2249" w:type="dxa"/>
          </w:tcPr>
          <w:p w:rsidR="00E802B3" w:rsidRDefault="00342EC0" w:rsidP="003E6E1F">
            <w:pPr>
              <w:tabs>
                <w:tab w:val="left" w:pos="851"/>
              </w:tabs>
              <w:jc w:val="center"/>
              <w:rPr>
                <w:rFonts w:asciiTheme="minorHAnsi" w:hAnsiTheme="minorHAnsi"/>
              </w:rPr>
            </w:pPr>
            <w:r w:rsidRPr="00401965">
              <w:rPr>
                <w:rFonts w:asciiTheme="minorHAnsi" w:hAnsiTheme="minorHAnsi"/>
              </w:rPr>
              <w:t xml:space="preserve">University </w:t>
            </w:r>
          </w:p>
          <w:p w:rsidR="00342EC0" w:rsidRPr="00401965" w:rsidRDefault="003C780A" w:rsidP="003E6E1F">
            <w:pPr>
              <w:tabs>
                <w:tab w:val="left" w:pos="851"/>
              </w:tabs>
              <w:jc w:val="center"/>
              <w:rPr>
                <w:rFonts w:asciiTheme="minorHAnsi" w:hAnsiTheme="minorHAnsi"/>
              </w:rPr>
            </w:pPr>
            <w:r>
              <w:rPr>
                <w:rFonts w:asciiTheme="minorHAnsi" w:hAnsiTheme="minorHAnsi"/>
              </w:rPr>
              <w:t xml:space="preserve">NQF </w:t>
            </w:r>
            <w:r w:rsidR="00342EC0" w:rsidRPr="00401965">
              <w:rPr>
                <w:rFonts w:asciiTheme="minorHAnsi" w:hAnsiTheme="minorHAnsi"/>
              </w:rPr>
              <w:t>Level</w:t>
            </w:r>
            <w:r>
              <w:rPr>
                <w:rFonts w:asciiTheme="minorHAnsi" w:hAnsiTheme="minorHAnsi"/>
              </w:rPr>
              <w:t>4</w:t>
            </w:r>
          </w:p>
          <w:p w:rsidR="00342EC0" w:rsidRPr="00401965" w:rsidRDefault="00342EC0" w:rsidP="003E6E1F">
            <w:pPr>
              <w:tabs>
                <w:tab w:val="left" w:pos="851"/>
              </w:tabs>
              <w:jc w:val="center"/>
              <w:rPr>
                <w:rFonts w:asciiTheme="minorHAnsi" w:hAnsiTheme="minorHAnsi"/>
              </w:rPr>
            </w:pPr>
            <w:r w:rsidRPr="00401965">
              <w:rPr>
                <w:rFonts w:asciiTheme="minorHAnsi" w:hAnsiTheme="minorHAnsi"/>
              </w:rPr>
              <w:t>(with additional support)</w:t>
            </w:r>
          </w:p>
        </w:tc>
        <w:tc>
          <w:tcPr>
            <w:tcW w:w="2249" w:type="dxa"/>
          </w:tcPr>
          <w:p w:rsidR="00E802B3" w:rsidRDefault="00342EC0" w:rsidP="003E6E1F">
            <w:pPr>
              <w:tabs>
                <w:tab w:val="left" w:pos="851"/>
              </w:tabs>
              <w:ind w:left="-4"/>
              <w:jc w:val="center"/>
              <w:rPr>
                <w:rFonts w:asciiTheme="minorHAnsi" w:hAnsiTheme="minorHAnsi"/>
              </w:rPr>
            </w:pPr>
            <w:r w:rsidRPr="00401965">
              <w:rPr>
                <w:rFonts w:asciiTheme="minorHAnsi" w:hAnsiTheme="minorHAnsi"/>
              </w:rPr>
              <w:t xml:space="preserve">University </w:t>
            </w:r>
          </w:p>
          <w:p w:rsidR="00342EC0" w:rsidRPr="00401965" w:rsidRDefault="003C780A" w:rsidP="003E6E1F">
            <w:pPr>
              <w:tabs>
                <w:tab w:val="left" w:pos="851"/>
              </w:tabs>
              <w:ind w:left="-4"/>
              <w:jc w:val="center"/>
              <w:rPr>
                <w:rFonts w:asciiTheme="minorHAnsi" w:hAnsiTheme="minorHAnsi"/>
              </w:rPr>
            </w:pPr>
            <w:r>
              <w:rPr>
                <w:rFonts w:asciiTheme="minorHAnsi" w:hAnsiTheme="minorHAnsi"/>
              </w:rPr>
              <w:t xml:space="preserve">NQF </w:t>
            </w:r>
            <w:r w:rsidR="00342EC0" w:rsidRPr="00401965">
              <w:rPr>
                <w:rFonts w:asciiTheme="minorHAnsi" w:hAnsiTheme="minorHAnsi"/>
              </w:rPr>
              <w:t>Level 5</w:t>
            </w:r>
          </w:p>
        </w:tc>
        <w:tc>
          <w:tcPr>
            <w:tcW w:w="2249" w:type="dxa"/>
          </w:tcPr>
          <w:p w:rsidR="00E802B3" w:rsidRDefault="00342EC0" w:rsidP="003E6E1F">
            <w:pPr>
              <w:tabs>
                <w:tab w:val="left" w:pos="851"/>
              </w:tabs>
              <w:ind w:left="15"/>
              <w:jc w:val="center"/>
              <w:rPr>
                <w:rFonts w:asciiTheme="minorHAnsi" w:hAnsiTheme="minorHAnsi"/>
              </w:rPr>
            </w:pPr>
            <w:r w:rsidRPr="00401965">
              <w:rPr>
                <w:rFonts w:asciiTheme="minorHAnsi" w:hAnsiTheme="minorHAnsi"/>
              </w:rPr>
              <w:t xml:space="preserve">University </w:t>
            </w:r>
          </w:p>
          <w:p w:rsidR="00342EC0" w:rsidRPr="00401965" w:rsidRDefault="003C780A" w:rsidP="003E6E1F">
            <w:pPr>
              <w:tabs>
                <w:tab w:val="left" w:pos="851"/>
              </w:tabs>
              <w:ind w:left="15"/>
              <w:jc w:val="center"/>
              <w:rPr>
                <w:rFonts w:asciiTheme="minorHAnsi" w:hAnsiTheme="minorHAnsi"/>
              </w:rPr>
            </w:pPr>
            <w:r>
              <w:rPr>
                <w:rFonts w:asciiTheme="minorHAnsi" w:hAnsiTheme="minorHAnsi"/>
              </w:rPr>
              <w:t xml:space="preserve">NQF </w:t>
            </w:r>
            <w:r w:rsidR="00342EC0" w:rsidRPr="00401965">
              <w:rPr>
                <w:rFonts w:asciiTheme="minorHAnsi" w:hAnsiTheme="minorHAnsi"/>
              </w:rPr>
              <w:t>Level 6</w:t>
            </w:r>
          </w:p>
        </w:tc>
      </w:tr>
    </w:tbl>
    <w:p w:rsidR="00342EC0" w:rsidRPr="00221297" w:rsidRDefault="00342EC0" w:rsidP="00342EC0">
      <w:pPr>
        <w:tabs>
          <w:tab w:val="left" w:pos="851"/>
        </w:tabs>
        <w:spacing w:after="0" w:line="240" w:lineRule="auto"/>
        <w:jc w:val="both"/>
        <w:rPr>
          <w:rFonts w:eastAsia="Times New Roman" w:cs="Times New Roman"/>
        </w:rPr>
      </w:pPr>
    </w:p>
    <w:p w:rsidR="00342EC0" w:rsidRPr="00221297" w:rsidRDefault="00342EC0" w:rsidP="00342EC0">
      <w:pPr>
        <w:tabs>
          <w:tab w:val="left" w:pos="851"/>
        </w:tabs>
        <w:spacing w:after="0" w:line="240" w:lineRule="auto"/>
        <w:ind w:left="709"/>
        <w:jc w:val="both"/>
        <w:rPr>
          <w:rFonts w:eastAsia="Times New Roman" w:cs="Times New Roman"/>
        </w:rPr>
      </w:pPr>
      <w:r w:rsidRPr="00221297">
        <w:rPr>
          <w:rFonts w:eastAsia="Times New Roman" w:cs="Times New Roman"/>
        </w:rPr>
        <w:t>Scotland</w:t>
      </w:r>
    </w:p>
    <w:tbl>
      <w:tblPr>
        <w:tblStyle w:val="TableGrid1"/>
        <w:tblW w:w="8996" w:type="dxa"/>
        <w:tblInd w:w="817" w:type="dxa"/>
        <w:tblLook w:val="04A0" w:firstRow="1" w:lastRow="0" w:firstColumn="1" w:lastColumn="0" w:noHBand="0" w:noVBand="1"/>
      </w:tblPr>
      <w:tblGrid>
        <w:gridCol w:w="1799"/>
        <w:gridCol w:w="1799"/>
        <w:gridCol w:w="2073"/>
        <w:gridCol w:w="1525"/>
        <w:gridCol w:w="1800"/>
      </w:tblGrid>
      <w:tr w:rsidR="00342EC0" w:rsidRPr="00221297" w:rsidTr="003E6E1F">
        <w:tc>
          <w:tcPr>
            <w:tcW w:w="3598" w:type="dxa"/>
            <w:gridSpan w:val="2"/>
            <w:shd w:val="clear" w:color="auto" w:fill="EAF1DD" w:themeFill="accent3" w:themeFillTint="33"/>
          </w:tcPr>
          <w:p w:rsidR="00342EC0" w:rsidRPr="00401965" w:rsidRDefault="00342EC0" w:rsidP="003E6E1F">
            <w:pPr>
              <w:tabs>
                <w:tab w:val="left" w:pos="851"/>
              </w:tabs>
              <w:rPr>
                <w:rFonts w:asciiTheme="minorHAnsi" w:hAnsiTheme="minorHAnsi"/>
                <w:b/>
                <w:color w:val="595959" w:themeColor="text1" w:themeTint="A6"/>
              </w:rPr>
            </w:pPr>
            <w:r w:rsidRPr="00401965">
              <w:rPr>
                <w:rFonts w:asciiTheme="minorHAnsi" w:hAnsiTheme="minorHAnsi"/>
                <w:b/>
                <w:color w:val="595959" w:themeColor="text1" w:themeTint="A6"/>
              </w:rPr>
              <w:t>Navitas College Provision</w:t>
            </w:r>
          </w:p>
        </w:tc>
        <w:tc>
          <w:tcPr>
            <w:tcW w:w="5398" w:type="dxa"/>
            <w:gridSpan w:val="3"/>
            <w:shd w:val="clear" w:color="auto" w:fill="EAF1DD" w:themeFill="accent3" w:themeFillTint="33"/>
          </w:tcPr>
          <w:p w:rsidR="00342EC0" w:rsidRPr="00401965" w:rsidRDefault="00342EC0" w:rsidP="003E6E1F">
            <w:pPr>
              <w:tabs>
                <w:tab w:val="left" w:pos="851"/>
              </w:tabs>
              <w:rPr>
                <w:rFonts w:asciiTheme="minorHAnsi" w:hAnsiTheme="minorHAnsi"/>
                <w:b/>
                <w:color w:val="595959" w:themeColor="text1" w:themeTint="A6"/>
              </w:rPr>
            </w:pPr>
            <w:r w:rsidRPr="00401965">
              <w:rPr>
                <w:rFonts w:asciiTheme="minorHAnsi" w:hAnsiTheme="minorHAnsi"/>
                <w:b/>
                <w:color w:val="595959" w:themeColor="text1" w:themeTint="A6"/>
              </w:rPr>
              <w:t>University Provision</w:t>
            </w:r>
          </w:p>
        </w:tc>
      </w:tr>
      <w:tr w:rsidR="00342EC0" w:rsidRPr="00221297" w:rsidTr="00401965">
        <w:tc>
          <w:tcPr>
            <w:tcW w:w="1799" w:type="dxa"/>
          </w:tcPr>
          <w:p w:rsidR="00342EC0" w:rsidRPr="00401965" w:rsidRDefault="00342EC0" w:rsidP="003E6E1F">
            <w:pPr>
              <w:tabs>
                <w:tab w:val="left" w:pos="851"/>
              </w:tabs>
              <w:jc w:val="center"/>
              <w:rPr>
                <w:rFonts w:asciiTheme="minorHAnsi" w:hAnsiTheme="minorHAnsi"/>
              </w:rPr>
            </w:pPr>
            <w:r w:rsidRPr="00401965">
              <w:rPr>
                <w:rFonts w:asciiTheme="minorHAnsi" w:hAnsiTheme="minorHAnsi"/>
              </w:rPr>
              <w:t>Stage 1</w:t>
            </w:r>
          </w:p>
        </w:tc>
        <w:tc>
          <w:tcPr>
            <w:tcW w:w="1799" w:type="dxa"/>
          </w:tcPr>
          <w:p w:rsidR="00342EC0" w:rsidRPr="00401965" w:rsidRDefault="00342EC0" w:rsidP="003E6E1F">
            <w:pPr>
              <w:tabs>
                <w:tab w:val="left" w:pos="851"/>
              </w:tabs>
              <w:jc w:val="center"/>
              <w:rPr>
                <w:rFonts w:asciiTheme="minorHAnsi" w:hAnsiTheme="minorHAnsi"/>
              </w:rPr>
            </w:pPr>
            <w:r w:rsidRPr="00401965">
              <w:rPr>
                <w:rFonts w:asciiTheme="minorHAnsi" w:hAnsiTheme="minorHAnsi"/>
              </w:rPr>
              <w:t>Stage 2</w:t>
            </w:r>
          </w:p>
        </w:tc>
        <w:tc>
          <w:tcPr>
            <w:tcW w:w="2073" w:type="dxa"/>
          </w:tcPr>
          <w:p w:rsidR="00342EC0" w:rsidRPr="00401965" w:rsidRDefault="00342EC0" w:rsidP="003E6E1F">
            <w:pPr>
              <w:tabs>
                <w:tab w:val="left" w:pos="851"/>
              </w:tabs>
              <w:jc w:val="center"/>
              <w:rPr>
                <w:rFonts w:asciiTheme="minorHAnsi" w:hAnsiTheme="minorHAnsi"/>
              </w:rPr>
            </w:pPr>
            <w:r w:rsidRPr="00401965">
              <w:rPr>
                <w:rFonts w:asciiTheme="minorHAnsi" w:hAnsiTheme="minorHAnsi"/>
              </w:rPr>
              <w:t>Stage 3</w:t>
            </w:r>
          </w:p>
        </w:tc>
        <w:tc>
          <w:tcPr>
            <w:tcW w:w="1525" w:type="dxa"/>
          </w:tcPr>
          <w:p w:rsidR="00342EC0" w:rsidRPr="00401965" w:rsidRDefault="00342EC0" w:rsidP="003E6E1F">
            <w:pPr>
              <w:tabs>
                <w:tab w:val="left" w:pos="851"/>
              </w:tabs>
              <w:jc w:val="center"/>
              <w:rPr>
                <w:rFonts w:asciiTheme="minorHAnsi" w:hAnsiTheme="minorHAnsi"/>
              </w:rPr>
            </w:pPr>
            <w:r w:rsidRPr="00401965">
              <w:rPr>
                <w:rFonts w:asciiTheme="minorHAnsi" w:hAnsiTheme="minorHAnsi"/>
              </w:rPr>
              <w:t>Stage 4</w:t>
            </w:r>
          </w:p>
        </w:tc>
        <w:tc>
          <w:tcPr>
            <w:tcW w:w="1800" w:type="dxa"/>
          </w:tcPr>
          <w:p w:rsidR="00342EC0" w:rsidRPr="00401965" w:rsidRDefault="00342EC0" w:rsidP="003E6E1F">
            <w:pPr>
              <w:tabs>
                <w:tab w:val="left" w:pos="851"/>
              </w:tabs>
              <w:jc w:val="center"/>
              <w:rPr>
                <w:rFonts w:asciiTheme="minorHAnsi" w:hAnsiTheme="minorHAnsi"/>
              </w:rPr>
            </w:pPr>
            <w:r w:rsidRPr="00401965">
              <w:rPr>
                <w:rFonts w:asciiTheme="minorHAnsi" w:hAnsiTheme="minorHAnsi"/>
              </w:rPr>
              <w:t>Stage 5</w:t>
            </w:r>
          </w:p>
        </w:tc>
      </w:tr>
      <w:tr w:rsidR="00342EC0" w:rsidRPr="00221297" w:rsidTr="00401965">
        <w:tc>
          <w:tcPr>
            <w:tcW w:w="1799" w:type="dxa"/>
          </w:tcPr>
          <w:p w:rsidR="00581AEB" w:rsidRDefault="00342EC0" w:rsidP="003E6E1F">
            <w:pPr>
              <w:tabs>
                <w:tab w:val="left" w:pos="851"/>
              </w:tabs>
              <w:jc w:val="center"/>
              <w:rPr>
                <w:rFonts w:asciiTheme="minorHAnsi" w:hAnsiTheme="minorHAnsi"/>
              </w:rPr>
            </w:pPr>
            <w:r w:rsidRPr="00401965">
              <w:rPr>
                <w:rFonts w:asciiTheme="minorHAnsi" w:hAnsiTheme="minorHAnsi"/>
              </w:rPr>
              <w:t xml:space="preserve"> University </w:t>
            </w:r>
            <w:r w:rsidR="00581AEB">
              <w:rPr>
                <w:rFonts w:asciiTheme="minorHAnsi" w:hAnsiTheme="minorHAnsi"/>
              </w:rPr>
              <w:t>SCQF Level 6</w:t>
            </w:r>
          </w:p>
          <w:p w:rsidR="00342EC0" w:rsidRDefault="00342EC0" w:rsidP="003E6E1F">
            <w:pPr>
              <w:tabs>
                <w:tab w:val="left" w:pos="851"/>
              </w:tabs>
              <w:jc w:val="center"/>
              <w:rPr>
                <w:rFonts w:asciiTheme="minorHAnsi" w:hAnsiTheme="minorHAnsi"/>
              </w:rPr>
            </w:pPr>
            <w:r w:rsidRPr="00401965">
              <w:rPr>
                <w:rFonts w:asciiTheme="minorHAnsi" w:hAnsiTheme="minorHAnsi"/>
              </w:rPr>
              <w:t>MPharm</w:t>
            </w:r>
          </w:p>
          <w:p w:rsidR="00E802B3" w:rsidRPr="00401965" w:rsidRDefault="00E802B3" w:rsidP="003E6E1F">
            <w:pPr>
              <w:tabs>
                <w:tab w:val="left" w:pos="851"/>
              </w:tabs>
              <w:jc w:val="center"/>
              <w:rPr>
                <w:rFonts w:asciiTheme="minorHAnsi" w:hAnsiTheme="minorHAnsi"/>
              </w:rPr>
            </w:pPr>
          </w:p>
        </w:tc>
        <w:tc>
          <w:tcPr>
            <w:tcW w:w="1799" w:type="dxa"/>
          </w:tcPr>
          <w:p w:rsidR="00E802B3" w:rsidRDefault="00342EC0" w:rsidP="003E6E1F">
            <w:pPr>
              <w:tabs>
                <w:tab w:val="left" w:pos="851"/>
              </w:tabs>
              <w:jc w:val="center"/>
              <w:rPr>
                <w:rFonts w:asciiTheme="minorHAnsi" w:hAnsiTheme="minorHAnsi"/>
              </w:rPr>
            </w:pPr>
            <w:r w:rsidRPr="00401965">
              <w:rPr>
                <w:rFonts w:asciiTheme="minorHAnsi" w:hAnsiTheme="minorHAnsi"/>
              </w:rPr>
              <w:lastRenderedPageBreak/>
              <w:t xml:space="preserve">University </w:t>
            </w:r>
          </w:p>
          <w:p w:rsidR="00342EC0" w:rsidRPr="00401965" w:rsidRDefault="00E802B3" w:rsidP="003E6E1F">
            <w:pPr>
              <w:tabs>
                <w:tab w:val="left" w:pos="851"/>
              </w:tabs>
              <w:jc w:val="center"/>
              <w:rPr>
                <w:rFonts w:asciiTheme="minorHAnsi" w:hAnsiTheme="minorHAnsi"/>
              </w:rPr>
            </w:pPr>
            <w:r>
              <w:rPr>
                <w:rFonts w:asciiTheme="minorHAnsi" w:hAnsiTheme="minorHAnsi"/>
              </w:rPr>
              <w:t xml:space="preserve">SCQF </w:t>
            </w:r>
            <w:r w:rsidR="00342EC0" w:rsidRPr="00401965">
              <w:rPr>
                <w:rFonts w:asciiTheme="minorHAnsi" w:hAnsiTheme="minorHAnsi"/>
              </w:rPr>
              <w:t>Level 7</w:t>
            </w:r>
          </w:p>
          <w:p w:rsidR="00342EC0" w:rsidRPr="00401965" w:rsidRDefault="00342EC0" w:rsidP="003E6E1F">
            <w:pPr>
              <w:tabs>
                <w:tab w:val="left" w:pos="851"/>
              </w:tabs>
              <w:jc w:val="center"/>
              <w:rPr>
                <w:rFonts w:asciiTheme="minorHAnsi" w:hAnsiTheme="minorHAnsi"/>
              </w:rPr>
            </w:pPr>
            <w:r w:rsidRPr="00401965">
              <w:rPr>
                <w:rFonts w:asciiTheme="minorHAnsi" w:hAnsiTheme="minorHAnsi"/>
              </w:rPr>
              <w:lastRenderedPageBreak/>
              <w:t>(with additional support)</w:t>
            </w:r>
          </w:p>
        </w:tc>
        <w:tc>
          <w:tcPr>
            <w:tcW w:w="2073" w:type="dxa"/>
          </w:tcPr>
          <w:p w:rsidR="00E802B3" w:rsidRDefault="00342EC0" w:rsidP="003E6E1F">
            <w:pPr>
              <w:tabs>
                <w:tab w:val="left" w:pos="851"/>
              </w:tabs>
              <w:jc w:val="center"/>
              <w:rPr>
                <w:rFonts w:asciiTheme="minorHAnsi" w:hAnsiTheme="minorHAnsi"/>
              </w:rPr>
            </w:pPr>
            <w:r w:rsidRPr="00401965">
              <w:rPr>
                <w:rFonts w:asciiTheme="minorHAnsi" w:hAnsiTheme="minorHAnsi"/>
              </w:rPr>
              <w:lastRenderedPageBreak/>
              <w:t xml:space="preserve">University </w:t>
            </w:r>
          </w:p>
          <w:p w:rsidR="00342EC0" w:rsidRPr="00401965" w:rsidRDefault="00E802B3" w:rsidP="003E6E1F">
            <w:pPr>
              <w:tabs>
                <w:tab w:val="left" w:pos="851"/>
              </w:tabs>
              <w:jc w:val="center"/>
              <w:rPr>
                <w:rFonts w:asciiTheme="minorHAnsi" w:hAnsiTheme="minorHAnsi"/>
              </w:rPr>
            </w:pPr>
            <w:r>
              <w:rPr>
                <w:rFonts w:asciiTheme="minorHAnsi" w:hAnsiTheme="minorHAnsi"/>
              </w:rPr>
              <w:t xml:space="preserve">SCQF </w:t>
            </w:r>
            <w:r w:rsidR="00342EC0" w:rsidRPr="00401965">
              <w:rPr>
                <w:rFonts w:asciiTheme="minorHAnsi" w:hAnsiTheme="minorHAnsi"/>
              </w:rPr>
              <w:t>Level 8</w:t>
            </w:r>
          </w:p>
          <w:p w:rsidR="00342EC0" w:rsidRPr="00401965" w:rsidRDefault="00342EC0" w:rsidP="003E6E1F">
            <w:pPr>
              <w:tabs>
                <w:tab w:val="left" w:pos="851"/>
              </w:tabs>
              <w:jc w:val="center"/>
              <w:rPr>
                <w:rFonts w:asciiTheme="minorHAnsi" w:hAnsiTheme="minorHAnsi"/>
              </w:rPr>
            </w:pPr>
            <w:r w:rsidRPr="00401965">
              <w:rPr>
                <w:rFonts w:asciiTheme="minorHAnsi" w:hAnsiTheme="minorHAnsi"/>
              </w:rPr>
              <w:lastRenderedPageBreak/>
              <w:t>(in some cases delivered by a college)</w:t>
            </w:r>
          </w:p>
        </w:tc>
        <w:tc>
          <w:tcPr>
            <w:tcW w:w="1525" w:type="dxa"/>
          </w:tcPr>
          <w:p w:rsidR="00E802B3" w:rsidRDefault="00342EC0" w:rsidP="003E6E1F">
            <w:pPr>
              <w:tabs>
                <w:tab w:val="left" w:pos="851"/>
              </w:tabs>
              <w:jc w:val="center"/>
              <w:rPr>
                <w:rFonts w:asciiTheme="minorHAnsi" w:hAnsiTheme="minorHAnsi"/>
              </w:rPr>
            </w:pPr>
            <w:r w:rsidRPr="00401965">
              <w:rPr>
                <w:rFonts w:asciiTheme="minorHAnsi" w:hAnsiTheme="minorHAnsi"/>
              </w:rPr>
              <w:lastRenderedPageBreak/>
              <w:t xml:space="preserve">University </w:t>
            </w:r>
          </w:p>
          <w:p w:rsidR="00342EC0" w:rsidRPr="00401965" w:rsidRDefault="00E802B3" w:rsidP="003E6E1F">
            <w:pPr>
              <w:tabs>
                <w:tab w:val="left" w:pos="851"/>
              </w:tabs>
              <w:jc w:val="center"/>
              <w:rPr>
                <w:rFonts w:asciiTheme="minorHAnsi" w:hAnsiTheme="minorHAnsi"/>
              </w:rPr>
            </w:pPr>
            <w:r>
              <w:rPr>
                <w:rFonts w:asciiTheme="minorHAnsi" w:hAnsiTheme="minorHAnsi"/>
              </w:rPr>
              <w:t xml:space="preserve">SCQF </w:t>
            </w:r>
            <w:r w:rsidR="00342EC0" w:rsidRPr="00401965">
              <w:rPr>
                <w:rFonts w:asciiTheme="minorHAnsi" w:hAnsiTheme="minorHAnsi"/>
              </w:rPr>
              <w:t>Level 9</w:t>
            </w:r>
          </w:p>
        </w:tc>
        <w:tc>
          <w:tcPr>
            <w:tcW w:w="1800" w:type="dxa"/>
          </w:tcPr>
          <w:p w:rsidR="00E802B3" w:rsidRDefault="00342EC0" w:rsidP="003E6E1F">
            <w:pPr>
              <w:tabs>
                <w:tab w:val="left" w:pos="851"/>
              </w:tabs>
              <w:jc w:val="center"/>
              <w:rPr>
                <w:rFonts w:asciiTheme="minorHAnsi" w:hAnsiTheme="minorHAnsi"/>
              </w:rPr>
            </w:pPr>
            <w:r w:rsidRPr="00401965">
              <w:rPr>
                <w:rFonts w:asciiTheme="minorHAnsi" w:hAnsiTheme="minorHAnsi"/>
              </w:rPr>
              <w:t xml:space="preserve">University </w:t>
            </w:r>
          </w:p>
          <w:p w:rsidR="00342EC0" w:rsidRPr="00401965" w:rsidRDefault="00E802B3" w:rsidP="003E6E1F">
            <w:pPr>
              <w:tabs>
                <w:tab w:val="left" w:pos="851"/>
              </w:tabs>
              <w:jc w:val="center"/>
              <w:rPr>
                <w:rFonts w:asciiTheme="minorHAnsi" w:hAnsiTheme="minorHAnsi"/>
              </w:rPr>
            </w:pPr>
            <w:r>
              <w:rPr>
                <w:rFonts w:asciiTheme="minorHAnsi" w:hAnsiTheme="minorHAnsi"/>
              </w:rPr>
              <w:t xml:space="preserve">SCQF </w:t>
            </w:r>
            <w:r w:rsidR="00342EC0" w:rsidRPr="00401965">
              <w:rPr>
                <w:rFonts w:asciiTheme="minorHAnsi" w:hAnsiTheme="minorHAnsi"/>
              </w:rPr>
              <w:t>Level 10</w:t>
            </w:r>
          </w:p>
        </w:tc>
      </w:tr>
    </w:tbl>
    <w:p w:rsidR="00342EC0" w:rsidRDefault="00342EC0" w:rsidP="00342EC0">
      <w:pPr>
        <w:tabs>
          <w:tab w:val="left" w:pos="851"/>
        </w:tabs>
        <w:spacing w:after="0" w:line="240" w:lineRule="auto"/>
        <w:jc w:val="both"/>
        <w:rPr>
          <w:rFonts w:eastAsia="Times New Roman" w:cs="Arial"/>
        </w:rPr>
      </w:pPr>
    </w:p>
    <w:p w:rsidR="00401965" w:rsidRPr="005116EF" w:rsidRDefault="00401965" w:rsidP="00401965">
      <w:pPr>
        <w:tabs>
          <w:tab w:val="left" w:pos="851"/>
        </w:tabs>
        <w:spacing w:after="0" w:line="240" w:lineRule="auto"/>
        <w:ind w:left="709"/>
        <w:jc w:val="both"/>
        <w:rPr>
          <w:rFonts w:eastAsia="Times New Roman" w:cs="Times New Roman"/>
          <w:b/>
        </w:rPr>
      </w:pPr>
      <w:r>
        <w:rPr>
          <w:rFonts w:eastAsia="Times New Roman" w:cs="Times New Roman"/>
          <w:b/>
        </w:rPr>
        <w:t>F</w:t>
      </w:r>
      <w:r w:rsidRPr="005116EF">
        <w:rPr>
          <w:rFonts w:eastAsia="Times New Roman" w:cs="Times New Roman"/>
          <w:b/>
        </w:rPr>
        <w:t>igure 5: Undergraduate Pathways</w:t>
      </w:r>
    </w:p>
    <w:p w:rsidR="00401965" w:rsidRPr="00221297" w:rsidRDefault="00401965" w:rsidP="00342EC0">
      <w:pPr>
        <w:tabs>
          <w:tab w:val="left" w:pos="851"/>
        </w:tabs>
        <w:spacing w:after="0" w:line="240" w:lineRule="auto"/>
        <w:jc w:val="both"/>
        <w:rPr>
          <w:rFonts w:eastAsia="Times New Roman" w:cs="Arial"/>
        </w:rPr>
      </w:pPr>
    </w:p>
    <w:p w:rsidR="00342EC0" w:rsidRPr="00221297" w:rsidRDefault="00050567" w:rsidP="00342EC0">
      <w:pPr>
        <w:tabs>
          <w:tab w:val="left" w:pos="851"/>
        </w:tabs>
        <w:spacing w:after="0" w:line="240" w:lineRule="auto"/>
        <w:ind w:left="709" w:hanging="709"/>
        <w:contextualSpacing/>
        <w:jc w:val="both"/>
        <w:rPr>
          <w:rFonts w:eastAsia="Times New Roman" w:cs="Arial"/>
        </w:rPr>
      </w:pPr>
      <w:r>
        <w:rPr>
          <w:rFonts w:eastAsia="Times New Roman" w:cs="Arial"/>
        </w:rPr>
        <w:t>7.2</w:t>
      </w:r>
      <w:r w:rsidR="005116EF">
        <w:rPr>
          <w:rFonts w:eastAsia="Times New Roman" w:cs="Arial"/>
        </w:rPr>
        <w:t>.4</w:t>
      </w:r>
      <w:r w:rsidR="00342EC0">
        <w:rPr>
          <w:rFonts w:eastAsia="Times New Roman" w:cs="Arial"/>
        </w:rPr>
        <w:tab/>
      </w:r>
      <w:r w:rsidR="00342EC0" w:rsidRPr="00221297">
        <w:rPr>
          <w:rFonts w:eastAsia="Times New Roman" w:cs="Arial"/>
        </w:rPr>
        <w:t xml:space="preserve">Postgraduate pathways have just two stages: a Pre-Masters course delivered by the College, followed by progression to a taught </w:t>
      </w:r>
      <w:r w:rsidR="000C4B5A">
        <w:rPr>
          <w:rFonts w:eastAsia="Times New Roman" w:cs="Arial"/>
        </w:rPr>
        <w:t>M</w:t>
      </w:r>
      <w:r w:rsidR="000C4B5A" w:rsidRPr="00221297">
        <w:rPr>
          <w:rFonts w:eastAsia="Times New Roman" w:cs="Arial"/>
        </w:rPr>
        <w:t>aster</w:t>
      </w:r>
      <w:r w:rsidR="002A78AB">
        <w:rPr>
          <w:rFonts w:eastAsia="Times New Roman" w:cs="Arial"/>
        </w:rPr>
        <w:t>’s</w:t>
      </w:r>
      <w:r w:rsidR="00342EC0" w:rsidRPr="00221297">
        <w:rPr>
          <w:rFonts w:eastAsia="Times New Roman" w:cs="Arial"/>
        </w:rPr>
        <w:t xml:space="preserve"> programme delivered by the </w:t>
      </w:r>
      <w:r w:rsidR="00342EC0">
        <w:rPr>
          <w:rFonts w:eastAsia="Times New Roman" w:cs="Arial"/>
        </w:rPr>
        <w:t>P</w:t>
      </w:r>
      <w:r w:rsidR="00342EC0" w:rsidRPr="00221297">
        <w:rPr>
          <w:rFonts w:eastAsia="Times New Roman" w:cs="Arial"/>
        </w:rPr>
        <w:t>artner</w:t>
      </w:r>
      <w:r w:rsidR="00342EC0">
        <w:rPr>
          <w:rFonts w:eastAsia="Times New Roman" w:cs="Arial"/>
        </w:rPr>
        <w:t xml:space="preserve"> U</w:t>
      </w:r>
      <w:r w:rsidR="00342EC0" w:rsidRPr="00221297">
        <w:rPr>
          <w:rFonts w:eastAsia="Times New Roman" w:cs="Arial"/>
        </w:rPr>
        <w:t xml:space="preserve">niversity.  </w:t>
      </w:r>
    </w:p>
    <w:p w:rsidR="005116EF" w:rsidRDefault="00050567" w:rsidP="00050567">
      <w:pPr>
        <w:spacing w:after="0" w:line="240" w:lineRule="auto"/>
        <w:ind w:left="720" w:hanging="720"/>
        <w:jc w:val="both"/>
      </w:pPr>
      <w:r>
        <w:t>7.2</w:t>
      </w:r>
      <w:r w:rsidR="005116EF">
        <w:t>.5</w:t>
      </w:r>
      <w:r w:rsidR="00342EC0">
        <w:tab/>
        <w:t xml:space="preserve">Navitas colleges do not make awards.  At the point of completion of the Navitas college stages, students are issued with a Confirmation of Attainment.  Where a student completes stage 2 (equivalent to university level 4 studies) and chooses not to progress to the university stage 3, the university </w:t>
      </w:r>
      <w:r w:rsidR="005116EF">
        <w:t>may</w:t>
      </w:r>
      <w:r w:rsidR="00342EC0">
        <w:t xml:space="preserve"> award a Certificate of Higher Education</w:t>
      </w:r>
    </w:p>
    <w:p w:rsidR="000C4B5A" w:rsidRDefault="000C4B5A" w:rsidP="00050567">
      <w:pPr>
        <w:spacing w:after="0" w:line="240" w:lineRule="auto"/>
        <w:ind w:left="720" w:hanging="720"/>
        <w:jc w:val="both"/>
      </w:pPr>
      <w:r>
        <w:t>7.2.6</w:t>
      </w:r>
      <w:r>
        <w:tab/>
        <w:t>Students’ studies at the college are recognized on the transcript provided by the University on completion of the degree.</w:t>
      </w:r>
    </w:p>
    <w:p w:rsidR="006D2210" w:rsidRDefault="00401965" w:rsidP="00050567">
      <w:pPr>
        <w:spacing w:after="0" w:line="240" w:lineRule="auto"/>
        <w:ind w:left="720" w:hanging="720"/>
        <w:jc w:val="both"/>
      </w:pPr>
      <w:r>
        <w:t>7.2.6</w:t>
      </w:r>
      <w:r>
        <w:tab/>
        <w:t>Figure 6</w:t>
      </w:r>
      <w:r w:rsidR="006D2210">
        <w:t xml:space="preserve"> provides a summary description of stages delivered by colleges.</w:t>
      </w:r>
    </w:p>
    <w:p w:rsidR="006D2210" w:rsidRDefault="006D2210" w:rsidP="00050567">
      <w:pPr>
        <w:spacing w:after="0" w:line="240" w:lineRule="auto"/>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360"/>
      </w:tblGrid>
      <w:tr w:rsidR="006D2210" w:rsidRPr="00270608" w:rsidTr="003E6E1F">
        <w:tc>
          <w:tcPr>
            <w:tcW w:w="1559" w:type="dxa"/>
            <w:shd w:val="clear" w:color="auto" w:fill="EAF1DD"/>
          </w:tcPr>
          <w:p w:rsidR="006D2210" w:rsidRPr="00270608" w:rsidRDefault="006D2210" w:rsidP="003E6E1F">
            <w:pPr>
              <w:spacing w:after="0" w:line="240" w:lineRule="auto"/>
              <w:jc w:val="center"/>
              <w:rPr>
                <w:rFonts w:ascii="Calibri" w:eastAsia="Times New Roman" w:hAnsi="Calibri" w:cs="Arial"/>
                <w:b/>
                <w:bCs/>
                <w:color w:val="808080" w:themeColor="background1" w:themeShade="80"/>
                <w:sz w:val="20"/>
                <w:szCs w:val="20"/>
                <w:lang w:val="en-AU" w:eastAsia="en-AU"/>
              </w:rPr>
            </w:pPr>
            <w:r w:rsidRPr="00270608">
              <w:rPr>
                <w:rFonts w:ascii="Calibri" w:eastAsia="Times New Roman" w:hAnsi="Calibri" w:cs="Times New Roman"/>
                <w:b/>
                <w:color w:val="808080" w:themeColor="background1" w:themeShade="80"/>
                <w:sz w:val="18"/>
                <w:szCs w:val="18"/>
                <w:lang w:val="en-AU" w:eastAsia="en-AU"/>
              </w:rPr>
              <w:t>Undergraduate Pathway Stage</w:t>
            </w:r>
          </w:p>
        </w:tc>
        <w:tc>
          <w:tcPr>
            <w:tcW w:w="7360" w:type="dxa"/>
            <w:shd w:val="clear" w:color="auto" w:fill="EAF1DD"/>
          </w:tcPr>
          <w:p w:rsidR="006D2210" w:rsidRPr="00270608" w:rsidRDefault="006D2210" w:rsidP="003E6E1F">
            <w:pPr>
              <w:spacing w:after="0" w:line="240" w:lineRule="auto"/>
              <w:jc w:val="both"/>
              <w:rPr>
                <w:rFonts w:ascii="Calibri" w:eastAsia="Times New Roman" w:hAnsi="Calibri" w:cs="Arial"/>
                <w:b/>
                <w:bCs/>
                <w:color w:val="808080" w:themeColor="background1" w:themeShade="80"/>
                <w:sz w:val="20"/>
                <w:szCs w:val="20"/>
                <w:lang w:val="en-AU" w:eastAsia="en-AU"/>
              </w:rPr>
            </w:pPr>
            <w:r w:rsidRPr="00270608">
              <w:rPr>
                <w:rFonts w:ascii="Calibri" w:eastAsia="Times New Roman" w:hAnsi="Calibri" w:cs="Arial"/>
                <w:b/>
                <w:bCs/>
                <w:color w:val="808080" w:themeColor="background1" w:themeShade="80"/>
                <w:sz w:val="20"/>
                <w:szCs w:val="20"/>
                <w:lang w:val="en-AU" w:eastAsia="en-AU"/>
              </w:rPr>
              <w:t>Description</w:t>
            </w:r>
          </w:p>
        </w:tc>
      </w:tr>
      <w:tr w:rsidR="006D2210" w:rsidRPr="00270608" w:rsidTr="003E6E1F">
        <w:tc>
          <w:tcPr>
            <w:tcW w:w="1559" w:type="dxa"/>
            <w:shd w:val="clear" w:color="auto" w:fill="auto"/>
          </w:tcPr>
          <w:p w:rsidR="006D2210" w:rsidRPr="00270608" w:rsidRDefault="006D2210" w:rsidP="003E6E1F">
            <w:pPr>
              <w:spacing w:after="0" w:line="240" w:lineRule="auto"/>
              <w:jc w:val="center"/>
              <w:rPr>
                <w:rFonts w:ascii="Calibri" w:eastAsia="Times New Roman" w:hAnsi="Calibri" w:cs="Times New Roman"/>
                <w:b/>
                <w:color w:val="808080" w:themeColor="background1" w:themeShade="80"/>
                <w:sz w:val="18"/>
                <w:szCs w:val="18"/>
                <w:lang w:val="en-AU" w:eastAsia="en-AU"/>
              </w:rPr>
            </w:pPr>
            <w:r w:rsidRPr="00270608">
              <w:rPr>
                <w:rFonts w:ascii="Calibri" w:eastAsia="Times New Roman" w:hAnsi="Calibri" w:cs="Times New Roman"/>
                <w:b/>
                <w:color w:val="808080" w:themeColor="background1" w:themeShade="80"/>
                <w:sz w:val="18"/>
                <w:szCs w:val="18"/>
                <w:lang w:val="en-AU" w:eastAsia="en-AU"/>
              </w:rPr>
              <w:t>IEL</w:t>
            </w:r>
          </w:p>
        </w:tc>
        <w:tc>
          <w:tcPr>
            <w:tcW w:w="7360" w:type="dxa"/>
            <w:shd w:val="clear" w:color="auto" w:fill="auto"/>
          </w:tcPr>
          <w:p w:rsidR="006D2210" w:rsidRPr="00270608" w:rsidRDefault="006D2210" w:rsidP="003E6E1F">
            <w:pPr>
              <w:spacing w:after="0" w:line="240" w:lineRule="auto"/>
              <w:jc w:val="both"/>
              <w:rPr>
                <w:rFonts w:ascii="Calibri" w:eastAsia="Times New Roman" w:hAnsi="Calibri" w:cs="Arial"/>
                <w:b/>
                <w:bCs/>
                <w:color w:val="808080" w:themeColor="background1" w:themeShade="80"/>
                <w:sz w:val="20"/>
                <w:szCs w:val="20"/>
                <w:lang w:val="en-AU" w:eastAsia="en-AU"/>
              </w:rPr>
            </w:pPr>
            <w:r w:rsidRPr="00270608">
              <w:rPr>
                <w:rFonts w:ascii="Calibri" w:eastAsia="Times New Roman" w:hAnsi="Calibri" w:cs="Arial"/>
                <w:b/>
                <w:bCs/>
                <w:color w:val="808080" w:themeColor="background1" w:themeShade="80"/>
                <w:sz w:val="20"/>
                <w:szCs w:val="20"/>
                <w:lang w:val="en-AU" w:eastAsia="en-AU"/>
              </w:rPr>
              <w:t xml:space="preserve">Intensive English Language </w:t>
            </w:r>
            <w:r w:rsidRPr="00270608">
              <w:rPr>
                <w:rFonts w:ascii="Calibri" w:eastAsia="Times New Roman" w:hAnsi="Calibri" w:cs="Arial"/>
                <w:bCs/>
                <w:sz w:val="20"/>
                <w:szCs w:val="20"/>
                <w:lang w:val="en-AU" w:eastAsia="en-AU"/>
              </w:rPr>
              <w:t xml:space="preserve">is designed for entrants to higher education who may need to undertake a preliminary course of study in English Language to meet the minimum language entry criteria to an academic Stage of study. </w:t>
            </w:r>
          </w:p>
        </w:tc>
      </w:tr>
      <w:tr w:rsidR="006D2210" w:rsidRPr="00270608" w:rsidTr="003E6E1F">
        <w:tc>
          <w:tcPr>
            <w:tcW w:w="1559" w:type="dxa"/>
            <w:shd w:val="clear" w:color="auto" w:fill="auto"/>
          </w:tcPr>
          <w:p w:rsidR="006D2210" w:rsidRPr="00270608" w:rsidRDefault="006D2210" w:rsidP="003E6E1F">
            <w:pPr>
              <w:spacing w:after="0" w:line="240" w:lineRule="auto"/>
              <w:jc w:val="center"/>
              <w:rPr>
                <w:rFonts w:ascii="Calibri" w:eastAsia="Times New Roman" w:hAnsi="Calibri" w:cs="Times New Roman"/>
                <w:b/>
                <w:color w:val="808080" w:themeColor="background1" w:themeShade="80"/>
                <w:sz w:val="18"/>
                <w:szCs w:val="18"/>
                <w:lang w:val="en-AU" w:eastAsia="en-AU"/>
              </w:rPr>
            </w:pPr>
          </w:p>
          <w:p w:rsidR="006D2210" w:rsidRPr="00270608" w:rsidRDefault="006D2210" w:rsidP="003E6E1F">
            <w:pPr>
              <w:spacing w:after="0" w:line="240" w:lineRule="auto"/>
              <w:jc w:val="center"/>
              <w:rPr>
                <w:rFonts w:ascii="Calibri" w:eastAsia="Times New Roman" w:hAnsi="Calibri" w:cs="Times New Roman"/>
                <w:b/>
                <w:color w:val="808080" w:themeColor="background1" w:themeShade="80"/>
                <w:sz w:val="18"/>
                <w:szCs w:val="18"/>
                <w:lang w:val="en-AU" w:eastAsia="en-AU"/>
              </w:rPr>
            </w:pPr>
            <w:r w:rsidRPr="00270608">
              <w:rPr>
                <w:rFonts w:ascii="Calibri" w:eastAsia="Times New Roman" w:hAnsi="Calibri" w:cs="Times New Roman"/>
                <w:b/>
                <w:color w:val="808080" w:themeColor="background1" w:themeShade="80"/>
                <w:sz w:val="18"/>
                <w:szCs w:val="18"/>
                <w:lang w:val="en-AU" w:eastAsia="en-AU"/>
              </w:rPr>
              <w:t>1</w:t>
            </w:r>
          </w:p>
        </w:tc>
        <w:tc>
          <w:tcPr>
            <w:tcW w:w="7360" w:type="dxa"/>
            <w:shd w:val="clear" w:color="auto" w:fill="auto"/>
          </w:tcPr>
          <w:p w:rsidR="006D2210" w:rsidRPr="00270608" w:rsidRDefault="006D2210" w:rsidP="003E6E1F">
            <w:pPr>
              <w:spacing w:after="0" w:line="240" w:lineRule="auto"/>
              <w:jc w:val="both"/>
              <w:rPr>
                <w:rFonts w:ascii="Calibri" w:eastAsia="Times New Roman" w:hAnsi="Calibri" w:cs="Arial"/>
                <w:bCs/>
                <w:sz w:val="20"/>
                <w:szCs w:val="20"/>
                <w:lang w:val="en-AU" w:eastAsia="en-AU"/>
              </w:rPr>
            </w:pPr>
            <w:r w:rsidRPr="00270608">
              <w:rPr>
                <w:rFonts w:ascii="Calibri" w:eastAsia="Times New Roman" w:hAnsi="Calibri" w:cs="Arial"/>
                <w:bCs/>
                <w:sz w:val="20"/>
                <w:szCs w:val="20"/>
                <w:lang w:val="en-AU" w:eastAsia="en-AU"/>
              </w:rPr>
              <w:t>A one or two semester Stage 1, is designed for entrants to higher education who may need to undertake a preliminary course of study in the discipline area to ensure knowledge and understanding of core topics is at a UK entry benchmark level to Stage 2 (First Year University Studies). Students who would require a Foundation course have the opportunity to enter at this stage, with an IELTS of 5.5.</w:t>
            </w:r>
          </w:p>
        </w:tc>
      </w:tr>
      <w:tr w:rsidR="006D2210" w:rsidRPr="00270608" w:rsidTr="003E6E1F">
        <w:trPr>
          <w:trHeight w:val="1988"/>
        </w:trPr>
        <w:tc>
          <w:tcPr>
            <w:tcW w:w="1559" w:type="dxa"/>
          </w:tcPr>
          <w:p w:rsidR="006D2210" w:rsidRPr="00270608" w:rsidRDefault="006D2210" w:rsidP="003E6E1F">
            <w:pPr>
              <w:spacing w:after="0" w:line="240" w:lineRule="auto"/>
              <w:jc w:val="center"/>
              <w:rPr>
                <w:rFonts w:ascii="Calibri" w:eastAsia="Times New Roman" w:hAnsi="Calibri" w:cs="Arial"/>
                <w:b/>
                <w:color w:val="808080" w:themeColor="background1" w:themeShade="80"/>
                <w:sz w:val="20"/>
                <w:szCs w:val="20"/>
                <w:lang w:val="en-AU" w:eastAsia="en-AU"/>
              </w:rPr>
            </w:pPr>
          </w:p>
          <w:p w:rsidR="006D2210" w:rsidRPr="00270608" w:rsidRDefault="006D2210" w:rsidP="003E6E1F">
            <w:pPr>
              <w:spacing w:after="0" w:line="240" w:lineRule="auto"/>
              <w:jc w:val="center"/>
              <w:rPr>
                <w:rFonts w:ascii="Calibri" w:eastAsia="Times New Roman" w:hAnsi="Calibri" w:cs="Arial"/>
                <w:b/>
                <w:color w:val="808080" w:themeColor="background1" w:themeShade="80"/>
                <w:sz w:val="20"/>
                <w:szCs w:val="20"/>
                <w:lang w:val="en-AU" w:eastAsia="en-AU"/>
              </w:rPr>
            </w:pPr>
            <w:r w:rsidRPr="00270608">
              <w:rPr>
                <w:rFonts w:ascii="Calibri" w:eastAsia="Times New Roman" w:hAnsi="Calibri" w:cs="Arial"/>
                <w:b/>
                <w:color w:val="808080" w:themeColor="background1" w:themeShade="80"/>
                <w:sz w:val="20"/>
                <w:szCs w:val="20"/>
                <w:lang w:val="en-AU" w:eastAsia="en-AU"/>
              </w:rPr>
              <w:t>2</w:t>
            </w:r>
          </w:p>
          <w:p w:rsidR="006D2210" w:rsidRPr="00270608" w:rsidRDefault="006D2210" w:rsidP="003E6E1F">
            <w:pPr>
              <w:spacing w:after="0" w:line="240" w:lineRule="auto"/>
              <w:jc w:val="center"/>
              <w:rPr>
                <w:rFonts w:ascii="Calibri" w:eastAsia="Times New Roman" w:hAnsi="Calibri" w:cs="Arial"/>
                <w:b/>
                <w:color w:val="808080" w:themeColor="background1" w:themeShade="80"/>
                <w:sz w:val="20"/>
                <w:szCs w:val="20"/>
                <w:lang w:val="en-AU" w:eastAsia="en-AU"/>
              </w:rPr>
            </w:pPr>
          </w:p>
          <w:p w:rsidR="006D2210" w:rsidRPr="00270608" w:rsidRDefault="006D2210" w:rsidP="003E6E1F">
            <w:pPr>
              <w:spacing w:after="0" w:line="240" w:lineRule="auto"/>
              <w:jc w:val="center"/>
              <w:rPr>
                <w:rFonts w:ascii="Calibri" w:eastAsia="Times New Roman" w:hAnsi="Calibri" w:cs="Arial"/>
                <w:b/>
                <w:color w:val="808080" w:themeColor="background1" w:themeShade="80"/>
                <w:sz w:val="20"/>
                <w:szCs w:val="20"/>
                <w:lang w:val="en-AU" w:eastAsia="en-AU"/>
              </w:rPr>
            </w:pPr>
          </w:p>
        </w:tc>
        <w:tc>
          <w:tcPr>
            <w:tcW w:w="7360" w:type="dxa"/>
          </w:tcPr>
          <w:p w:rsidR="006D2210" w:rsidRPr="00270608" w:rsidRDefault="006D2210" w:rsidP="006D2210">
            <w:pPr>
              <w:spacing w:after="0" w:line="240" w:lineRule="auto"/>
              <w:jc w:val="both"/>
              <w:rPr>
                <w:rFonts w:ascii="Calibri" w:eastAsia="Times New Roman" w:hAnsi="Calibri" w:cs="Arial"/>
                <w:sz w:val="20"/>
                <w:szCs w:val="20"/>
                <w:lang w:val="en-AU" w:eastAsia="en-AU"/>
              </w:rPr>
            </w:pPr>
            <w:r w:rsidRPr="00270608">
              <w:rPr>
                <w:rFonts w:ascii="Calibri" w:eastAsia="Times New Roman" w:hAnsi="Calibri" w:cs="Arial"/>
                <w:sz w:val="20"/>
                <w:szCs w:val="20"/>
                <w:lang w:val="en-AU" w:eastAsia="en-AU"/>
              </w:rPr>
              <w:t xml:space="preserve">A two semester Stage 2, is designed for entrants to higher education who may need extra time and contact hours to adjust to the mature learning environment of University studies. This Stage follows the curriculum of the University and has no conditions with regard to progression on to the next stage of study bar the normal requirements imposed upon the </w:t>
            </w:r>
            <w:r>
              <w:rPr>
                <w:rFonts w:ascii="Calibri" w:eastAsia="Times New Roman" w:hAnsi="Calibri" w:cs="Arial"/>
                <w:sz w:val="20"/>
                <w:szCs w:val="20"/>
                <w:lang w:val="en-AU" w:eastAsia="en-AU"/>
              </w:rPr>
              <w:t>partner</w:t>
            </w:r>
            <w:r w:rsidRPr="00270608">
              <w:rPr>
                <w:rFonts w:ascii="Calibri" w:eastAsia="Times New Roman" w:hAnsi="Calibri" w:cs="Arial"/>
                <w:sz w:val="20"/>
                <w:szCs w:val="20"/>
                <w:lang w:val="en-AU" w:eastAsia="en-AU"/>
              </w:rPr>
              <w:t xml:space="preserve"> University’s own students. Entrants to this Stage will have demonstrated benchmarked international qualifications for entry to a pathway programme with an IELTS 6.0 and who therefore, require less time and contact hours to adjust to the mature learning environment. </w:t>
            </w:r>
          </w:p>
        </w:tc>
      </w:tr>
      <w:tr w:rsidR="006D2210" w:rsidRPr="00270608" w:rsidTr="003E6E1F">
        <w:tc>
          <w:tcPr>
            <w:tcW w:w="1559" w:type="dxa"/>
            <w:shd w:val="clear" w:color="auto" w:fill="EAF1DD"/>
          </w:tcPr>
          <w:p w:rsidR="006D2210" w:rsidRPr="00270608" w:rsidRDefault="006D2210" w:rsidP="003E6E1F">
            <w:pPr>
              <w:spacing w:after="0" w:line="240" w:lineRule="auto"/>
              <w:jc w:val="center"/>
              <w:rPr>
                <w:rFonts w:ascii="Calibri" w:eastAsia="Times New Roman" w:hAnsi="Calibri" w:cs="Arial"/>
                <w:b/>
                <w:bCs/>
                <w:color w:val="808080" w:themeColor="background1" w:themeShade="80"/>
                <w:sz w:val="20"/>
                <w:szCs w:val="20"/>
                <w:lang w:val="en-AU" w:eastAsia="en-AU"/>
              </w:rPr>
            </w:pPr>
            <w:r w:rsidRPr="00270608">
              <w:rPr>
                <w:rFonts w:ascii="Calibri" w:eastAsia="Times New Roman" w:hAnsi="Calibri" w:cs="Times New Roman"/>
                <w:b/>
                <w:color w:val="808080" w:themeColor="background1" w:themeShade="80"/>
                <w:sz w:val="18"/>
                <w:szCs w:val="18"/>
                <w:lang w:val="en-AU" w:eastAsia="en-AU"/>
              </w:rPr>
              <w:t>Postgraduate Pathway Stage</w:t>
            </w:r>
          </w:p>
        </w:tc>
        <w:tc>
          <w:tcPr>
            <w:tcW w:w="7360" w:type="dxa"/>
            <w:shd w:val="clear" w:color="auto" w:fill="EAF1DD"/>
          </w:tcPr>
          <w:p w:rsidR="006D2210" w:rsidRPr="00270608" w:rsidRDefault="006D2210" w:rsidP="003E6E1F">
            <w:pPr>
              <w:spacing w:after="0" w:line="240" w:lineRule="auto"/>
              <w:jc w:val="both"/>
              <w:rPr>
                <w:rFonts w:ascii="Calibri" w:eastAsia="Times New Roman" w:hAnsi="Calibri" w:cs="Arial"/>
                <w:b/>
                <w:bCs/>
                <w:color w:val="808080" w:themeColor="background1" w:themeShade="80"/>
                <w:sz w:val="20"/>
                <w:szCs w:val="20"/>
                <w:lang w:val="en-AU" w:eastAsia="en-AU"/>
              </w:rPr>
            </w:pPr>
            <w:r w:rsidRPr="00270608">
              <w:rPr>
                <w:rFonts w:ascii="Calibri" w:eastAsia="Times New Roman" w:hAnsi="Calibri" w:cs="Arial"/>
                <w:b/>
                <w:bCs/>
                <w:color w:val="808080" w:themeColor="background1" w:themeShade="80"/>
                <w:sz w:val="20"/>
                <w:szCs w:val="20"/>
                <w:lang w:val="en-AU" w:eastAsia="en-AU"/>
              </w:rPr>
              <w:t>Description</w:t>
            </w:r>
          </w:p>
        </w:tc>
      </w:tr>
      <w:tr w:rsidR="006D2210" w:rsidRPr="00270608" w:rsidTr="003E6E1F">
        <w:trPr>
          <w:trHeight w:val="608"/>
        </w:trPr>
        <w:tc>
          <w:tcPr>
            <w:tcW w:w="1559" w:type="dxa"/>
          </w:tcPr>
          <w:p w:rsidR="006D2210" w:rsidRPr="00270608" w:rsidRDefault="006D2210" w:rsidP="003E6E1F">
            <w:pPr>
              <w:spacing w:after="0" w:line="240" w:lineRule="auto"/>
              <w:jc w:val="center"/>
              <w:rPr>
                <w:rFonts w:ascii="Calibri" w:eastAsia="Times New Roman" w:hAnsi="Calibri" w:cs="Arial"/>
                <w:b/>
                <w:color w:val="808080" w:themeColor="background1" w:themeShade="80"/>
                <w:sz w:val="20"/>
                <w:szCs w:val="20"/>
                <w:lang w:val="en-AU" w:eastAsia="en-AU"/>
              </w:rPr>
            </w:pPr>
            <w:r w:rsidRPr="00270608">
              <w:rPr>
                <w:rFonts w:ascii="Calibri" w:eastAsia="Times New Roman" w:hAnsi="Calibri" w:cs="Arial"/>
                <w:b/>
                <w:color w:val="808080" w:themeColor="background1" w:themeShade="80"/>
                <w:sz w:val="20"/>
                <w:szCs w:val="20"/>
                <w:lang w:val="en-AU" w:eastAsia="en-AU"/>
              </w:rPr>
              <w:t>IEL</w:t>
            </w:r>
          </w:p>
        </w:tc>
        <w:tc>
          <w:tcPr>
            <w:tcW w:w="7360" w:type="dxa"/>
          </w:tcPr>
          <w:p w:rsidR="006D2210" w:rsidRPr="00270608" w:rsidRDefault="006D2210" w:rsidP="003E6E1F">
            <w:pPr>
              <w:spacing w:after="0" w:line="240" w:lineRule="auto"/>
              <w:jc w:val="both"/>
              <w:rPr>
                <w:rFonts w:ascii="Calibri" w:eastAsia="Times New Roman" w:hAnsi="Calibri" w:cs="Arial"/>
                <w:sz w:val="20"/>
                <w:szCs w:val="20"/>
                <w:lang w:val="en-AU" w:eastAsia="en-AU"/>
              </w:rPr>
            </w:pPr>
            <w:r w:rsidRPr="00270608">
              <w:rPr>
                <w:rFonts w:ascii="Calibri" w:eastAsia="Times New Roman" w:hAnsi="Calibri" w:cs="Arial"/>
                <w:b/>
                <w:bCs/>
                <w:color w:val="808080" w:themeColor="background1" w:themeShade="80"/>
                <w:sz w:val="20"/>
                <w:szCs w:val="20"/>
                <w:lang w:val="en-AU" w:eastAsia="en-AU"/>
              </w:rPr>
              <w:t xml:space="preserve">Intensive English Language </w:t>
            </w:r>
            <w:r w:rsidRPr="00270608">
              <w:rPr>
                <w:rFonts w:ascii="Calibri" w:eastAsia="Times New Roman" w:hAnsi="Calibri" w:cs="Arial"/>
                <w:bCs/>
                <w:sz w:val="20"/>
                <w:szCs w:val="20"/>
                <w:lang w:val="en-AU" w:eastAsia="en-AU"/>
              </w:rPr>
              <w:t>is designed for entrants to higher education who may need to undertake a preliminary course of study in English Language to meet the minimum language entry criteria to an academic Stage of study.</w:t>
            </w:r>
          </w:p>
        </w:tc>
      </w:tr>
      <w:tr w:rsidR="006D2210" w:rsidRPr="00270608" w:rsidTr="003E6E1F">
        <w:trPr>
          <w:trHeight w:val="608"/>
        </w:trPr>
        <w:tc>
          <w:tcPr>
            <w:tcW w:w="1559" w:type="dxa"/>
            <w:vMerge w:val="restart"/>
          </w:tcPr>
          <w:p w:rsidR="006D2210" w:rsidRPr="00270608" w:rsidRDefault="006D2210" w:rsidP="003E6E1F">
            <w:pPr>
              <w:spacing w:after="0" w:line="240" w:lineRule="auto"/>
              <w:jc w:val="center"/>
              <w:rPr>
                <w:rFonts w:ascii="Calibri" w:eastAsia="Times New Roman" w:hAnsi="Calibri" w:cs="Arial"/>
                <w:b/>
                <w:color w:val="808080" w:themeColor="background1" w:themeShade="80"/>
                <w:sz w:val="20"/>
                <w:szCs w:val="20"/>
                <w:lang w:val="en-AU" w:eastAsia="en-AU"/>
              </w:rPr>
            </w:pPr>
          </w:p>
          <w:p w:rsidR="006D2210" w:rsidRPr="00270608" w:rsidRDefault="006D2210" w:rsidP="003E6E1F">
            <w:pPr>
              <w:spacing w:after="0" w:line="240" w:lineRule="auto"/>
              <w:jc w:val="center"/>
              <w:rPr>
                <w:rFonts w:ascii="Calibri" w:eastAsia="Times New Roman" w:hAnsi="Calibri" w:cs="Arial"/>
                <w:b/>
                <w:color w:val="808080" w:themeColor="background1" w:themeShade="80"/>
                <w:sz w:val="20"/>
                <w:szCs w:val="20"/>
                <w:lang w:val="en-AU" w:eastAsia="en-AU"/>
              </w:rPr>
            </w:pPr>
            <w:r w:rsidRPr="00270608">
              <w:rPr>
                <w:rFonts w:ascii="Calibri" w:eastAsia="Times New Roman" w:hAnsi="Calibri" w:cs="Arial"/>
                <w:b/>
                <w:color w:val="808080" w:themeColor="background1" w:themeShade="80"/>
                <w:sz w:val="20"/>
                <w:szCs w:val="20"/>
                <w:lang w:val="en-AU" w:eastAsia="en-AU"/>
              </w:rPr>
              <w:t>1</w:t>
            </w:r>
          </w:p>
        </w:tc>
        <w:tc>
          <w:tcPr>
            <w:tcW w:w="7360" w:type="dxa"/>
          </w:tcPr>
          <w:p w:rsidR="006D2210" w:rsidRPr="00270608" w:rsidRDefault="006D2210" w:rsidP="003E6E1F">
            <w:pPr>
              <w:spacing w:after="0" w:line="240" w:lineRule="auto"/>
              <w:jc w:val="both"/>
              <w:rPr>
                <w:rFonts w:ascii="Calibri" w:eastAsia="Times New Roman" w:hAnsi="Calibri" w:cs="Arial"/>
                <w:sz w:val="20"/>
                <w:szCs w:val="20"/>
                <w:lang w:val="en-AU" w:eastAsia="en-AU"/>
              </w:rPr>
            </w:pPr>
            <w:r w:rsidRPr="00270608">
              <w:rPr>
                <w:rFonts w:ascii="Calibri" w:eastAsia="Times New Roman" w:hAnsi="Calibri" w:cs="Arial"/>
                <w:sz w:val="20"/>
                <w:szCs w:val="20"/>
                <w:lang w:val="en-AU" w:eastAsia="en-AU"/>
              </w:rPr>
              <w:t>The two</w:t>
            </w:r>
            <w:r w:rsidR="000C4B5A">
              <w:rPr>
                <w:rFonts w:ascii="Calibri" w:eastAsia="Times New Roman" w:hAnsi="Calibri" w:cs="Arial"/>
                <w:sz w:val="20"/>
                <w:szCs w:val="20"/>
                <w:lang w:val="en-AU" w:eastAsia="en-AU"/>
              </w:rPr>
              <w:t>-</w:t>
            </w:r>
            <w:r w:rsidRPr="00270608">
              <w:rPr>
                <w:rFonts w:ascii="Calibri" w:eastAsia="Times New Roman" w:hAnsi="Calibri" w:cs="Arial"/>
                <w:sz w:val="20"/>
                <w:szCs w:val="20"/>
                <w:lang w:val="en-AU" w:eastAsia="en-AU"/>
              </w:rPr>
              <w:t>semester Stage 1, is designed for entrants to taught postgraduate study who do not possess the appropriate discipline specific entry qualifications for direct entry to specialist Taught Masters degrees. This stage includes advanced or specialist study and skills training.</w:t>
            </w:r>
          </w:p>
        </w:tc>
      </w:tr>
      <w:tr w:rsidR="006D2210" w:rsidRPr="00270608" w:rsidTr="003E6E1F">
        <w:trPr>
          <w:trHeight w:val="607"/>
        </w:trPr>
        <w:tc>
          <w:tcPr>
            <w:tcW w:w="1559" w:type="dxa"/>
            <w:vMerge/>
          </w:tcPr>
          <w:p w:rsidR="006D2210" w:rsidRPr="00270608" w:rsidRDefault="006D2210" w:rsidP="003E6E1F">
            <w:pPr>
              <w:spacing w:after="0" w:line="240" w:lineRule="auto"/>
              <w:jc w:val="center"/>
              <w:rPr>
                <w:rFonts w:ascii="Calibri" w:eastAsia="Times New Roman" w:hAnsi="Calibri" w:cs="Arial"/>
                <w:b/>
                <w:color w:val="808080" w:themeColor="background1" w:themeShade="80"/>
                <w:sz w:val="20"/>
                <w:szCs w:val="20"/>
                <w:lang w:val="en-AU" w:eastAsia="en-AU"/>
              </w:rPr>
            </w:pPr>
          </w:p>
        </w:tc>
        <w:tc>
          <w:tcPr>
            <w:tcW w:w="7360" w:type="dxa"/>
          </w:tcPr>
          <w:p w:rsidR="006D2210" w:rsidRPr="00270608" w:rsidRDefault="006D2210" w:rsidP="003E6E1F">
            <w:pPr>
              <w:spacing w:after="0" w:line="240" w:lineRule="auto"/>
              <w:jc w:val="both"/>
              <w:rPr>
                <w:rFonts w:ascii="Calibri" w:eastAsia="Times New Roman" w:hAnsi="Calibri" w:cs="Arial"/>
                <w:sz w:val="20"/>
                <w:szCs w:val="20"/>
                <w:lang w:val="en-AU" w:eastAsia="en-AU"/>
              </w:rPr>
            </w:pPr>
            <w:r w:rsidRPr="00270608">
              <w:rPr>
                <w:rFonts w:ascii="Calibri" w:eastAsia="Times New Roman" w:hAnsi="Calibri" w:cs="Arial"/>
                <w:sz w:val="20"/>
                <w:szCs w:val="20"/>
                <w:lang w:val="en-AU" w:eastAsia="en-AU"/>
              </w:rPr>
              <w:t>The one semester Stage 1, is designed for entrants to taught postgraduate study who do not possess the appropriate entry qualifications for direct entry to Taught Masters degrees in non-specialist disciplines. These Pre-Masters include advanced or specialist study and skills training. This stage includes skills training.</w:t>
            </w:r>
          </w:p>
        </w:tc>
      </w:tr>
    </w:tbl>
    <w:p w:rsidR="006D2210" w:rsidRDefault="006D2210" w:rsidP="00050567">
      <w:pPr>
        <w:spacing w:after="0" w:line="240" w:lineRule="auto"/>
        <w:ind w:left="720" w:hanging="720"/>
        <w:jc w:val="both"/>
      </w:pPr>
    </w:p>
    <w:p w:rsidR="00401965" w:rsidRPr="00401965" w:rsidRDefault="00401965" w:rsidP="00401965">
      <w:pPr>
        <w:spacing w:after="0" w:line="240" w:lineRule="auto"/>
        <w:ind w:left="709"/>
        <w:jc w:val="both"/>
        <w:rPr>
          <w:rFonts w:ascii="Calibri" w:eastAsia="Times New Roman" w:hAnsi="Calibri" w:cs="Arial"/>
          <w:b/>
          <w:lang w:val="en-AU" w:eastAsia="en-AU"/>
        </w:rPr>
      </w:pPr>
      <w:r>
        <w:rPr>
          <w:rFonts w:ascii="Calibri" w:eastAsia="Times New Roman" w:hAnsi="Calibri" w:cs="Arial"/>
          <w:b/>
          <w:lang w:val="en-AU" w:eastAsia="en-AU"/>
        </w:rPr>
        <w:t>Figure 6</w:t>
      </w:r>
      <w:r w:rsidRPr="00401965">
        <w:rPr>
          <w:rFonts w:ascii="Calibri" w:eastAsia="Times New Roman" w:hAnsi="Calibri" w:cs="Arial"/>
          <w:b/>
          <w:lang w:val="en-AU" w:eastAsia="en-AU"/>
        </w:rPr>
        <w:t>:</w:t>
      </w:r>
      <w:r>
        <w:rPr>
          <w:rFonts w:ascii="Calibri" w:eastAsia="Times New Roman" w:hAnsi="Calibri" w:cs="Arial"/>
          <w:b/>
          <w:lang w:val="en-AU" w:eastAsia="en-AU"/>
        </w:rPr>
        <w:t xml:space="preserve">  Stage</w:t>
      </w:r>
      <w:r w:rsidRPr="00401965">
        <w:rPr>
          <w:rFonts w:ascii="Calibri" w:eastAsia="Times New Roman" w:hAnsi="Calibri" w:cs="Arial"/>
          <w:b/>
          <w:lang w:val="en-AU" w:eastAsia="en-AU"/>
        </w:rPr>
        <w:t xml:space="preserve"> Descriptions.</w:t>
      </w:r>
    </w:p>
    <w:p w:rsidR="00050567" w:rsidRPr="00050567" w:rsidRDefault="00050567" w:rsidP="00050567">
      <w:pPr>
        <w:spacing w:after="0" w:line="240" w:lineRule="auto"/>
        <w:ind w:left="720" w:hanging="720"/>
        <w:jc w:val="both"/>
      </w:pPr>
    </w:p>
    <w:p w:rsidR="00050567" w:rsidRPr="00050567" w:rsidRDefault="005116EF" w:rsidP="005116EF">
      <w:pPr>
        <w:spacing w:after="0" w:line="240" w:lineRule="auto"/>
        <w:ind w:left="709" w:hanging="709"/>
        <w:jc w:val="both"/>
        <w:rPr>
          <w:rFonts w:ascii="Calibri" w:eastAsia="Times New Roman" w:hAnsi="Calibri" w:cs="Arial"/>
          <w:b/>
          <w:lang w:val="en-AU" w:eastAsia="en-AU"/>
        </w:rPr>
      </w:pPr>
      <w:r w:rsidRPr="00050567">
        <w:rPr>
          <w:rFonts w:ascii="Calibri" w:eastAsia="Times New Roman" w:hAnsi="Calibri" w:cs="Arial"/>
          <w:b/>
          <w:lang w:val="en-AU" w:eastAsia="en-AU"/>
        </w:rPr>
        <w:t>7</w:t>
      </w:r>
      <w:r w:rsidR="00050567" w:rsidRPr="00050567">
        <w:rPr>
          <w:rFonts w:ascii="Calibri" w:eastAsia="Times New Roman" w:hAnsi="Calibri" w:cs="Arial"/>
          <w:b/>
          <w:lang w:val="en-AU" w:eastAsia="en-AU"/>
        </w:rPr>
        <w:t>.3</w:t>
      </w:r>
      <w:r w:rsidRPr="00050567">
        <w:rPr>
          <w:rFonts w:ascii="Calibri" w:eastAsia="Times New Roman" w:hAnsi="Calibri" w:cs="Arial"/>
          <w:b/>
          <w:lang w:val="en-AU" w:eastAsia="en-AU"/>
        </w:rPr>
        <w:tab/>
      </w:r>
      <w:r w:rsidR="00050567" w:rsidRPr="00050567">
        <w:rPr>
          <w:rFonts w:ascii="Calibri" w:eastAsia="Times New Roman" w:hAnsi="Calibri" w:cs="Arial"/>
          <w:b/>
          <w:lang w:val="en-AU" w:eastAsia="en-AU"/>
        </w:rPr>
        <w:t>Streams</w:t>
      </w:r>
    </w:p>
    <w:p w:rsidR="00050567" w:rsidRDefault="00050567" w:rsidP="00050567">
      <w:pPr>
        <w:spacing w:after="0" w:line="240" w:lineRule="auto"/>
        <w:ind w:left="709"/>
        <w:jc w:val="both"/>
        <w:rPr>
          <w:rFonts w:ascii="Calibri" w:eastAsia="Times New Roman" w:hAnsi="Calibri" w:cs="Arial"/>
          <w:lang w:val="en-AU" w:eastAsia="en-AU"/>
        </w:rPr>
      </w:pPr>
    </w:p>
    <w:p w:rsidR="005116EF" w:rsidRPr="001743D4" w:rsidRDefault="00050567" w:rsidP="00050567">
      <w:pPr>
        <w:spacing w:after="0" w:line="240" w:lineRule="auto"/>
        <w:ind w:left="709" w:hanging="709"/>
        <w:jc w:val="both"/>
        <w:rPr>
          <w:rFonts w:ascii="Calibri" w:eastAsia="Times New Roman" w:hAnsi="Calibri" w:cs="Arial"/>
          <w:lang w:val="en-AU" w:eastAsia="en-AU"/>
        </w:rPr>
      </w:pPr>
      <w:r>
        <w:rPr>
          <w:rFonts w:ascii="Calibri" w:eastAsia="Times New Roman" w:hAnsi="Calibri" w:cs="Arial"/>
          <w:lang w:val="en-AU" w:eastAsia="en-AU"/>
        </w:rPr>
        <w:t>7.3.1</w:t>
      </w:r>
      <w:r>
        <w:rPr>
          <w:rFonts w:ascii="Calibri" w:eastAsia="Times New Roman" w:hAnsi="Calibri" w:cs="Arial"/>
          <w:lang w:val="en-AU" w:eastAsia="en-AU"/>
        </w:rPr>
        <w:tab/>
      </w:r>
      <w:r w:rsidR="005116EF" w:rsidRPr="001743D4">
        <w:rPr>
          <w:rFonts w:ascii="Calibri" w:eastAsia="Times New Roman" w:hAnsi="Calibri" w:cs="Arial"/>
          <w:lang w:val="en-AU" w:eastAsia="en-AU"/>
        </w:rPr>
        <w:t xml:space="preserve">Pathways may contain </w:t>
      </w:r>
      <w:r w:rsidR="005116EF" w:rsidRPr="001743D4">
        <w:rPr>
          <w:rFonts w:ascii="Calibri" w:eastAsia="Times New Roman" w:hAnsi="Calibri" w:cs="Arial"/>
          <w:b/>
          <w:lang w:val="en-AU" w:eastAsia="en-AU"/>
        </w:rPr>
        <w:t>streams</w:t>
      </w:r>
      <w:r w:rsidR="005116EF" w:rsidRPr="001743D4">
        <w:rPr>
          <w:rFonts w:ascii="Calibri" w:eastAsia="Times New Roman" w:hAnsi="Calibri" w:cs="Arial"/>
          <w:lang w:val="en-AU" w:eastAsia="en-AU"/>
        </w:rPr>
        <w:t xml:space="preserve"> of study.</w:t>
      </w:r>
      <w:r w:rsidR="005116EF">
        <w:rPr>
          <w:rFonts w:ascii="Calibri" w:eastAsia="Times New Roman" w:hAnsi="Calibri" w:cs="Arial"/>
          <w:lang w:val="en-AU" w:eastAsia="en-AU"/>
        </w:rPr>
        <w:t xml:space="preserve"> </w:t>
      </w:r>
      <w:r w:rsidR="005116EF" w:rsidRPr="001743D4">
        <w:rPr>
          <w:rFonts w:ascii="Calibri" w:eastAsia="Times New Roman" w:hAnsi="Calibri" w:cs="Arial"/>
          <w:lang w:val="en-AU" w:eastAsia="en-AU"/>
        </w:rPr>
        <w:t xml:space="preserve"> Streams may be differentiated by degree award</w:t>
      </w:r>
      <w:r w:rsidR="005116EF">
        <w:rPr>
          <w:rFonts w:ascii="Calibri" w:eastAsia="Times New Roman" w:hAnsi="Calibri" w:cs="Arial"/>
          <w:lang w:val="en-AU" w:eastAsia="en-AU"/>
        </w:rPr>
        <w:t>,</w:t>
      </w:r>
      <w:r w:rsidR="005116EF" w:rsidRPr="001743D4">
        <w:rPr>
          <w:rFonts w:ascii="Calibri" w:eastAsia="Times New Roman" w:hAnsi="Calibri" w:cs="Arial"/>
          <w:lang w:val="en-AU" w:eastAsia="en-AU"/>
        </w:rPr>
        <w:t xml:space="preserve"> course and title. They have the potential to be further defined by module mix, credit value </w:t>
      </w:r>
      <w:r w:rsidR="005116EF">
        <w:rPr>
          <w:rFonts w:ascii="Calibri" w:eastAsia="Times New Roman" w:hAnsi="Calibri" w:cs="Arial"/>
          <w:lang w:val="en-AU" w:eastAsia="en-AU"/>
        </w:rPr>
        <w:t>and/or pass grades</w:t>
      </w:r>
      <w:r w:rsidR="005116EF" w:rsidRPr="001743D4">
        <w:rPr>
          <w:rFonts w:ascii="Calibri" w:eastAsia="Times New Roman" w:hAnsi="Calibri" w:cs="Arial"/>
          <w:lang w:val="en-AU" w:eastAsia="en-AU"/>
        </w:rPr>
        <w:t xml:space="preserve">. Such variations reflect the necessary </w:t>
      </w:r>
      <w:r>
        <w:rPr>
          <w:rFonts w:ascii="Calibri" w:eastAsia="Times New Roman" w:hAnsi="Calibri" w:cs="Arial"/>
          <w:lang w:val="en-AU" w:eastAsia="en-AU"/>
        </w:rPr>
        <w:t>i</w:t>
      </w:r>
      <w:r w:rsidR="005116EF" w:rsidRPr="001743D4">
        <w:rPr>
          <w:rFonts w:ascii="Calibri" w:eastAsia="Times New Roman" w:hAnsi="Calibri" w:cs="Arial"/>
          <w:lang w:val="en-AU" w:eastAsia="en-AU"/>
        </w:rPr>
        <w:t xml:space="preserve">ntended </w:t>
      </w:r>
      <w:r>
        <w:rPr>
          <w:rFonts w:ascii="Calibri" w:eastAsia="Times New Roman" w:hAnsi="Calibri" w:cs="Arial"/>
          <w:lang w:val="en-AU" w:eastAsia="en-AU"/>
        </w:rPr>
        <w:t>learning outcomes</w:t>
      </w:r>
      <w:r w:rsidR="005116EF" w:rsidRPr="001743D4">
        <w:rPr>
          <w:rFonts w:ascii="Calibri" w:eastAsia="Times New Roman" w:hAnsi="Calibri" w:cs="Arial"/>
          <w:lang w:val="en-AU" w:eastAsia="en-AU"/>
        </w:rPr>
        <w:t xml:space="preserve"> and completion criteria specific to the requirements of a prescribed degree courses/s.  </w:t>
      </w:r>
      <w:r>
        <w:rPr>
          <w:rFonts w:ascii="Calibri" w:eastAsia="Times New Roman" w:hAnsi="Calibri" w:cs="Arial"/>
          <w:lang w:val="en-AU" w:eastAsia="en-AU"/>
        </w:rPr>
        <w:t>An illustrative example is shown in Figure 7</w:t>
      </w:r>
    </w:p>
    <w:p w:rsidR="00050567" w:rsidRDefault="00050567" w:rsidP="00050567">
      <w:pPr>
        <w:spacing w:after="0" w:line="240" w:lineRule="auto"/>
        <w:jc w:val="both"/>
        <w:rPr>
          <w:rFonts w:ascii="Calibri" w:eastAsia="Times New Roman" w:hAnsi="Calibri" w:cs="Arial"/>
          <w:lang w:val="en-AU" w:eastAsia="en-AU"/>
        </w:rPr>
      </w:pPr>
    </w:p>
    <w:p w:rsidR="00050567" w:rsidRPr="00270608" w:rsidRDefault="00050567" w:rsidP="00050567">
      <w:pPr>
        <w:spacing w:after="0" w:line="240" w:lineRule="auto"/>
        <w:ind w:left="709"/>
        <w:jc w:val="both"/>
        <w:rPr>
          <w:rFonts w:ascii="Calibri" w:eastAsia="Times New Roman" w:hAnsi="Calibri" w:cs="Arial"/>
          <w:sz w:val="20"/>
          <w:szCs w:val="20"/>
          <w:lang w:val="en-AU" w:eastAsia="en-AU"/>
        </w:rPr>
      </w:pPr>
      <w:r w:rsidRPr="00270608">
        <w:rPr>
          <w:rFonts w:ascii="Calibri" w:eastAsia="Times New Roman" w:hAnsi="Calibri" w:cs="Arial"/>
          <w:i/>
          <w:noProof/>
          <w:sz w:val="20"/>
          <w:szCs w:val="20"/>
        </w:rPr>
        <w:lastRenderedPageBreak/>
        <w:drawing>
          <wp:inline distT="0" distB="0" distL="0" distR="0">
            <wp:extent cx="3484858" cy="1253359"/>
            <wp:effectExtent l="0" t="19050" r="20955" b="61595"/>
            <wp:docPr id="3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50567" w:rsidRPr="00270608" w:rsidRDefault="00050567" w:rsidP="00050567">
      <w:pPr>
        <w:spacing w:after="0" w:line="240" w:lineRule="auto"/>
        <w:ind w:left="709"/>
        <w:jc w:val="both"/>
        <w:rPr>
          <w:rFonts w:ascii="Calibri" w:eastAsia="Times New Roman" w:hAnsi="Calibri" w:cs="Arial"/>
          <w:sz w:val="20"/>
          <w:szCs w:val="20"/>
          <w:lang w:val="en-AU" w:eastAsia="en-AU"/>
        </w:rPr>
      </w:pPr>
    </w:p>
    <w:p w:rsidR="00401965" w:rsidRDefault="00401965" w:rsidP="00401965">
      <w:pPr>
        <w:spacing w:after="0" w:line="240" w:lineRule="auto"/>
        <w:ind w:firstLine="709"/>
        <w:jc w:val="both"/>
        <w:rPr>
          <w:rFonts w:ascii="Calibri" w:eastAsia="Times New Roman" w:hAnsi="Calibri" w:cs="Arial"/>
          <w:b/>
          <w:lang w:val="en-AU" w:eastAsia="en-AU"/>
        </w:rPr>
      </w:pPr>
      <w:r w:rsidRPr="00401965">
        <w:rPr>
          <w:rFonts w:ascii="Calibri" w:eastAsia="Times New Roman" w:hAnsi="Calibri" w:cs="Arial"/>
          <w:b/>
          <w:lang w:val="en-AU" w:eastAsia="en-AU"/>
        </w:rPr>
        <w:t xml:space="preserve">Figure 7:  An Illustration of Pathway Streams </w:t>
      </w:r>
    </w:p>
    <w:p w:rsidR="00581AEB" w:rsidRPr="00401965" w:rsidRDefault="00581AEB" w:rsidP="00401965">
      <w:pPr>
        <w:spacing w:after="0" w:line="240" w:lineRule="auto"/>
        <w:ind w:firstLine="709"/>
        <w:jc w:val="both"/>
        <w:rPr>
          <w:rFonts w:ascii="Calibri" w:eastAsia="Times New Roman" w:hAnsi="Calibri" w:cs="Arial"/>
          <w:b/>
          <w:lang w:val="en-AU" w:eastAsia="en-AU"/>
        </w:rPr>
      </w:pPr>
    </w:p>
    <w:p w:rsidR="00050567" w:rsidRDefault="00050567" w:rsidP="00342EC0">
      <w:pPr>
        <w:spacing w:after="0" w:line="240" w:lineRule="auto"/>
        <w:jc w:val="both"/>
      </w:pPr>
    </w:p>
    <w:p w:rsidR="00050567" w:rsidRDefault="00050567" w:rsidP="00050567">
      <w:pPr>
        <w:spacing w:after="0" w:line="240" w:lineRule="auto"/>
        <w:ind w:left="709" w:hanging="709"/>
        <w:jc w:val="both"/>
        <w:rPr>
          <w:rFonts w:ascii="Calibri" w:eastAsia="Times New Roman" w:hAnsi="Calibri" w:cs="Arial"/>
          <w:b/>
          <w:lang w:val="en-AU" w:eastAsia="en-AU"/>
        </w:rPr>
      </w:pPr>
      <w:r w:rsidRPr="00050567">
        <w:rPr>
          <w:rFonts w:ascii="Calibri" w:eastAsia="Times New Roman" w:hAnsi="Calibri" w:cs="Arial"/>
          <w:b/>
          <w:lang w:val="en-AU" w:eastAsia="en-AU"/>
        </w:rPr>
        <w:t>7.4</w:t>
      </w:r>
      <w:r w:rsidRPr="00050567">
        <w:rPr>
          <w:rFonts w:ascii="Calibri" w:eastAsia="Times New Roman" w:hAnsi="Calibri" w:cs="Arial"/>
          <w:b/>
          <w:lang w:val="en-AU" w:eastAsia="en-AU"/>
        </w:rPr>
        <w:tab/>
        <w:t>Modules</w:t>
      </w:r>
    </w:p>
    <w:p w:rsidR="00050567" w:rsidRPr="00050567" w:rsidRDefault="00050567" w:rsidP="00050567">
      <w:pPr>
        <w:spacing w:after="0" w:line="240" w:lineRule="auto"/>
        <w:ind w:left="709" w:hanging="709"/>
        <w:jc w:val="both"/>
        <w:rPr>
          <w:rFonts w:ascii="Calibri" w:eastAsia="Times New Roman" w:hAnsi="Calibri" w:cs="Arial"/>
          <w:b/>
          <w:lang w:val="en-AU" w:eastAsia="en-AU"/>
        </w:rPr>
      </w:pPr>
    </w:p>
    <w:p w:rsidR="00050567" w:rsidRPr="00BB5641" w:rsidRDefault="00050567" w:rsidP="00050567">
      <w:pPr>
        <w:spacing w:after="0" w:line="240" w:lineRule="auto"/>
        <w:ind w:left="709" w:hanging="709"/>
        <w:jc w:val="both"/>
        <w:rPr>
          <w:rFonts w:ascii="Calibri" w:eastAsia="Times New Roman" w:hAnsi="Calibri" w:cs="Arial"/>
          <w:lang w:val="en-AU" w:eastAsia="en-AU"/>
        </w:rPr>
      </w:pPr>
      <w:r>
        <w:rPr>
          <w:rFonts w:ascii="Calibri" w:eastAsia="Times New Roman" w:hAnsi="Calibri" w:cs="Arial"/>
          <w:lang w:val="en-AU" w:eastAsia="en-AU"/>
        </w:rPr>
        <w:t>7.4.1</w:t>
      </w:r>
      <w:r>
        <w:rPr>
          <w:rFonts w:ascii="Calibri" w:eastAsia="Times New Roman" w:hAnsi="Calibri" w:cs="Arial"/>
          <w:lang w:val="en-AU" w:eastAsia="en-AU"/>
        </w:rPr>
        <w:tab/>
      </w:r>
      <w:r w:rsidRPr="00BB5641">
        <w:rPr>
          <w:rFonts w:ascii="Calibri" w:eastAsia="Times New Roman" w:hAnsi="Calibri" w:cs="Arial"/>
          <w:lang w:val="en-AU" w:eastAsia="en-AU"/>
        </w:rPr>
        <w:t xml:space="preserve">A </w:t>
      </w:r>
      <w:r w:rsidRPr="00BB5641">
        <w:rPr>
          <w:rFonts w:ascii="Calibri" w:eastAsia="Times New Roman" w:hAnsi="Calibri" w:cs="Arial"/>
          <w:b/>
          <w:lang w:val="en-AU" w:eastAsia="en-AU"/>
        </w:rPr>
        <w:t xml:space="preserve">module </w:t>
      </w:r>
      <w:r w:rsidRPr="00BB5641">
        <w:rPr>
          <w:rFonts w:ascii="Calibri" w:eastAsia="Times New Roman" w:hAnsi="Calibri" w:cs="Arial"/>
          <w:lang w:val="en-AU" w:eastAsia="en-AU"/>
        </w:rPr>
        <w:t>is a self-contained quantum o</w:t>
      </w:r>
      <w:r>
        <w:rPr>
          <w:rFonts w:ascii="Calibri" w:eastAsia="Times New Roman" w:hAnsi="Calibri" w:cs="Arial"/>
          <w:lang w:val="en-AU" w:eastAsia="en-AU"/>
        </w:rPr>
        <w:t>f study with a set of specific learning outcomes</w:t>
      </w:r>
      <w:r w:rsidRPr="00BB5641">
        <w:rPr>
          <w:rFonts w:ascii="Calibri" w:eastAsia="Times New Roman" w:hAnsi="Calibri" w:cs="Arial"/>
          <w:lang w:val="en-AU" w:eastAsia="en-AU"/>
        </w:rPr>
        <w:t xml:space="preserve"> and </w:t>
      </w:r>
      <w:r>
        <w:rPr>
          <w:rFonts w:ascii="Calibri" w:eastAsia="Times New Roman" w:hAnsi="Calibri" w:cs="Arial"/>
          <w:lang w:val="en-AU" w:eastAsia="en-AU"/>
        </w:rPr>
        <w:t>a defined</w:t>
      </w:r>
      <w:r w:rsidRPr="00BB5641">
        <w:rPr>
          <w:rFonts w:ascii="Calibri" w:eastAsia="Times New Roman" w:hAnsi="Calibri" w:cs="Arial"/>
          <w:lang w:val="en-AU" w:eastAsia="en-AU"/>
        </w:rPr>
        <w:t xml:space="preserve"> assessment framework. </w:t>
      </w:r>
      <w:r>
        <w:rPr>
          <w:rFonts w:ascii="Calibri" w:eastAsia="Times New Roman" w:hAnsi="Calibri" w:cs="Arial"/>
          <w:lang w:val="en-AU" w:eastAsia="en-AU"/>
        </w:rPr>
        <w:t xml:space="preserve"> A module is </w:t>
      </w:r>
      <w:r w:rsidRPr="00BB5641">
        <w:rPr>
          <w:rFonts w:ascii="Calibri" w:eastAsia="Times New Roman" w:hAnsi="Calibri" w:cs="Arial"/>
          <w:lang w:val="en-AU" w:eastAsia="en-AU"/>
        </w:rPr>
        <w:t>no</w:t>
      </w:r>
      <w:r>
        <w:rPr>
          <w:rFonts w:ascii="Calibri" w:eastAsia="Times New Roman" w:hAnsi="Calibri" w:cs="Arial"/>
          <w:lang w:val="en-AU" w:eastAsia="en-AU"/>
        </w:rPr>
        <w:t xml:space="preserve">rmally linked to a single stage.  </w:t>
      </w:r>
      <w:r w:rsidRPr="00BB5641">
        <w:rPr>
          <w:rFonts w:ascii="Calibri" w:eastAsia="Times New Roman" w:hAnsi="Calibri" w:cs="Arial"/>
          <w:lang w:val="en-AU" w:eastAsia="en-AU"/>
        </w:rPr>
        <w:t xml:space="preserve">Students must satisfy the notional completion criteria and regulations of each required module as prescribed within a stage of study to be considered for progression to the next stage of study. </w:t>
      </w:r>
    </w:p>
    <w:p w:rsidR="00B2420F" w:rsidRDefault="00B2420F" w:rsidP="00050567">
      <w:pPr>
        <w:spacing w:after="0" w:line="240" w:lineRule="auto"/>
        <w:ind w:left="709" w:hanging="709"/>
        <w:jc w:val="both"/>
        <w:rPr>
          <w:rFonts w:ascii="Calibri" w:eastAsia="Times New Roman" w:hAnsi="Calibri" w:cs="Arial"/>
          <w:lang w:val="en-AU" w:eastAsia="en-AU"/>
        </w:rPr>
      </w:pPr>
      <w:r>
        <w:rPr>
          <w:rFonts w:ascii="Calibri" w:eastAsia="Times New Roman" w:hAnsi="Calibri" w:cs="Arial"/>
          <w:lang w:val="en-AU" w:eastAsia="en-AU"/>
        </w:rPr>
        <w:t>7.4</w:t>
      </w:r>
      <w:r w:rsidR="00050567" w:rsidRPr="00BB5641">
        <w:rPr>
          <w:rFonts w:ascii="Calibri" w:eastAsia="Times New Roman" w:hAnsi="Calibri" w:cs="Arial"/>
          <w:lang w:val="en-AU" w:eastAsia="en-AU"/>
        </w:rPr>
        <w:t>.2</w:t>
      </w:r>
      <w:r w:rsidR="00050567" w:rsidRPr="00BB5641">
        <w:rPr>
          <w:rFonts w:ascii="Calibri" w:eastAsia="Times New Roman" w:hAnsi="Calibri" w:cs="Arial"/>
          <w:lang w:val="en-AU" w:eastAsia="en-AU"/>
        </w:rPr>
        <w:tab/>
      </w:r>
      <w:r w:rsidR="00050567" w:rsidRPr="00B2420F">
        <w:rPr>
          <w:rFonts w:ascii="Calibri" w:eastAsia="Times New Roman" w:hAnsi="Calibri" w:cs="Arial"/>
          <w:lang w:val="en-AU" w:eastAsia="en-AU"/>
        </w:rPr>
        <w:t>Modules</w:t>
      </w:r>
      <w:r w:rsidR="00050567" w:rsidRPr="00BB5641">
        <w:rPr>
          <w:rFonts w:ascii="Calibri" w:eastAsia="Times New Roman" w:hAnsi="Calibri" w:cs="Arial"/>
          <w:b/>
          <w:lang w:val="en-AU" w:eastAsia="en-AU"/>
        </w:rPr>
        <w:t xml:space="preserve"> </w:t>
      </w:r>
      <w:r>
        <w:rPr>
          <w:rFonts w:ascii="Calibri" w:eastAsia="Times New Roman" w:hAnsi="Calibri" w:cs="Arial"/>
          <w:lang w:val="en-AU" w:eastAsia="en-AU"/>
        </w:rPr>
        <w:t>will have</w:t>
      </w:r>
      <w:r w:rsidR="00050567" w:rsidRPr="00BB5641">
        <w:rPr>
          <w:rFonts w:ascii="Calibri" w:eastAsia="Times New Roman" w:hAnsi="Calibri" w:cs="Arial"/>
          <w:lang w:val="en-AU" w:eastAsia="en-AU"/>
        </w:rPr>
        <w:t xml:space="preserve"> varying credit values </w:t>
      </w:r>
      <w:r>
        <w:rPr>
          <w:rFonts w:ascii="Calibri" w:eastAsia="Times New Roman" w:hAnsi="Calibri" w:cs="Arial"/>
          <w:lang w:val="en-AU" w:eastAsia="en-AU"/>
        </w:rPr>
        <w:t>depending on the structures adopted by particular universities.  Each credit point equates to ten (10) notional hours of student effort including:</w:t>
      </w:r>
    </w:p>
    <w:p w:rsidR="00B2420F" w:rsidRPr="00401965" w:rsidRDefault="00B2420F" w:rsidP="00B2420F">
      <w:pPr>
        <w:pStyle w:val="ListParagraph"/>
        <w:numPr>
          <w:ilvl w:val="0"/>
          <w:numId w:val="39"/>
        </w:numPr>
        <w:ind w:left="1134" w:hanging="283"/>
        <w:jc w:val="both"/>
        <w:rPr>
          <w:rFonts w:ascii="Calibri" w:hAnsi="Calibri" w:cs="Arial"/>
          <w:sz w:val="22"/>
          <w:szCs w:val="22"/>
        </w:rPr>
      </w:pPr>
      <w:r w:rsidRPr="00401965">
        <w:rPr>
          <w:rFonts w:ascii="Calibri" w:hAnsi="Calibri" w:cs="Arial"/>
          <w:sz w:val="22"/>
          <w:szCs w:val="22"/>
        </w:rPr>
        <w:t>Contact hours (all scheduled delivery time);</w:t>
      </w:r>
    </w:p>
    <w:p w:rsidR="00B2420F" w:rsidRPr="00401965" w:rsidRDefault="00B2420F" w:rsidP="00B2420F">
      <w:pPr>
        <w:pStyle w:val="ListParagraph"/>
        <w:numPr>
          <w:ilvl w:val="0"/>
          <w:numId w:val="39"/>
        </w:numPr>
        <w:ind w:left="1134" w:hanging="283"/>
        <w:jc w:val="both"/>
        <w:rPr>
          <w:rFonts w:ascii="Calibri" w:hAnsi="Calibri" w:cs="Arial"/>
          <w:sz w:val="22"/>
          <w:szCs w:val="22"/>
        </w:rPr>
      </w:pPr>
      <w:r w:rsidRPr="00401965">
        <w:rPr>
          <w:rFonts w:ascii="Calibri" w:hAnsi="Calibri" w:cs="Arial"/>
          <w:sz w:val="22"/>
          <w:szCs w:val="22"/>
        </w:rPr>
        <w:t>Assessment activity such as examinations;</w:t>
      </w:r>
    </w:p>
    <w:p w:rsidR="00B2420F" w:rsidRPr="00401965" w:rsidRDefault="00B2420F" w:rsidP="00B2420F">
      <w:pPr>
        <w:pStyle w:val="ListParagraph"/>
        <w:numPr>
          <w:ilvl w:val="0"/>
          <w:numId w:val="39"/>
        </w:numPr>
        <w:ind w:left="1134" w:hanging="283"/>
        <w:jc w:val="both"/>
        <w:rPr>
          <w:rFonts w:ascii="Calibri" w:hAnsi="Calibri" w:cs="Arial"/>
          <w:sz w:val="22"/>
          <w:szCs w:val="22"/>
        </w:rPr>
      </w:pPr>
      <w:r w:rsidRPr="00401965">
        <w:rPr>
          <w:rFonts w:ascii="Calibri" w:hAnsi="Calibri" w:cs="Arial"/>
          <w:sz w:val="22"/>
          <w:szCs w:val="22"/>
        </w:rPr>
        <w:t>Directed-study hours including all directed study time and events. Monitored study may be included but it must be designated clearly in the Programme Specification;</w:t>
      </w:r>
    </w:p>
    <w:p w:rsidR="00B2420F" w:rsidRPr="00401965" w:rsidRDefault="00B2420F" w:rsidP="00B2420F">
      <w:pPr>
        <w:pStyle w:val="ListParagraph"/>
        <w:numPr>
          <w:ilvl w:val="0"/>
          <w:numId w:val="39"/>
        </w:numPr>
        <w:ind w:left="1134" w:hanging="283"/>
        <w:jc w:val="both"/>
        <w:rPr>
          <w:rFonts w:ascii="Calibri" w:hAnsi="Calibri" w:cs="Arial"/>
          <w:sz w:val="22"/>
          <w:szCs w:val="22"/>
        </w:rPr>
      </w:pPr>
      <w:r w:rsidRPr="00401965">
        <w:rPr>
          <w:rFonts w:ascii="Calibri" w:hAnsi="Calibri" w:cs="Arial"/>
          <w:sz w:val="22"/>
          <w:szCs w:val="22"/>
        </w:rPr>
        <w:t xml:space="preserve">Self-directed study hours including preparation time for timetabled activities, preparation for assessments, assessment time, guided student learning. </w:t>
      </w:r>
    </w:p>
    <w:p w:rsidR="00B2420F" w:rsidRPr="00B2420F" w:rsidRDefault="00B2420F" w:rsidP="00B2420F">
      <w:pPr>
        <w:spacing w:after="0" w:line="240" w:lineRule="auto"/>
        <w:ind w:left="709"/>
        <w:jc w:val="both"/>
        <w:rPr>
          <w:rFonts w:ascii="Calibri" w:eastAsia="Times New Roman" w:hAnsi="Calibri" w:cs="Arial"/>
        </w:rPr>
      </w:pPr>
      <w:r w:rsidRPr="00B2420F">
        <w:rPr>
          <w:rFonts w:ascii="Calibri" w:eastAsia="Times New Roman" w:hAnsi="Calibri" w:cs="Arial"/>
        </w:rPr>
        <w:t>For a breakdown on the ratio of contact to self-directed study hours, see Appendix 2 of each Programme Specification and relevant DMDs.</w:t>
      </w:r>
    </w:p>
    <w:p w:rsidR="00050567" w:rsidRPr="00BB5641" w:rsidRDefault="00B2420F" w:rsidP="00B2420F">
      <w:pPr>
        <w:spacing w:after="0" w:line="240" w:lineRule="auto"/>
        <w:ind w:left="709" w:hanging="709"/>
        <w:jc w:val="both"/>
        <w:rPr>
          <w:rFonts w:ascii="Calibri" w:eastAsia="Times New Roman" w:hAnsi="Calibri" w:cs="Arial"/>
          <w:lang w:val="en-AU" w:eastAsia="en-AU"/>
        </w:rPr>
      </w:pPr>
      <w:r>
        <w:rPr>
          <w:rFonts w:ascii="Calibri" w:eastAsia="Times New Roman" w:hAnsi="Calibri" w:cs="Arial"/>
          <w:lang w:val="en-AU" w:eastAsia="en-AU"/>
        </w:rPr>
        <w:t>7.4</w:t>
      </w:r>
      <w:r w:rsidR="00050567">
        <w:rPr>
          <w:rFonts w:ascii="Calibri" w:eastAsia="Times New Roman" w:hAnsi="Calibri" w:cs="Arial"/>
          <w:lang w:val="en-AU" w:eastAsia="en-AU"/>
        </w:rPr>
        <w:t>.3</w:t>
      </w:r>
      <w:r w:rsidR="00050567">
        <w:rPr>
          <w:rFonts w:ascii="Calibri" w:eastAsia="Times New Roman" w:hAnsi="Calibri" w:cs="Arial"/>
          <w:lang w:val="en-AU" w:eastAsia="en-AU"/>
        </w:rPr>
        <w:tab/>
      </w:r>
      <w:r w:rsidR="00050567" w:rsidRPr="00BB5641">
        <w:rPr>
          <w:rFonts w:ascii="Calibri" w:eastAsia="Times New Roman" w:hAnsi="Calibri" w:cs="Arial"/>
          <w:lang w:val="en-AU" w:eastAsia="en-AU"/>
        </w:rPr>
        <w:t xml:space="preserve">Where there is an intended learning continuum from one module to the next, they may be taught consecutively over the period of one (1) semester – for example where </w:t>
      </w:r>
      <w:r>
        <w:rPr>
          <w:rFonts w:ascii="Calibri" w:eastAsia="Times New Roman" w:hAnsi="Calibri" w:cs="Arial"/>
          <w:lang w:val="en-AU" w:eastAsia="en-AU"/>
        </w:rPr>
        <w:t>access to a</w:t>
      </w:r>
      <w:r w:rsidR="00050567" w:rsidRPr="00BB5641">
        <w:rPr>
          <w:rFonts w:ascii="Calibri" w:eastAsia="Times New Roman" w:hAnsi="Calibri" w:cs="Arial"/>
          <w:lang w:val="en-AU" w:eastAsia="en-AU"/>
        </w:rPr>
        <w:t xml:space="preserve"> </w:t>
      </w:r>
      <w:r w:rsidR="00050567">
        <w:rPr>
          <w:rFonts w:ascii="Calibri" w:eastAsia="Times New Roman" w:hAnsi="Calibri" w:cs="Arial"/>
          <w:lang w:val="en-AU" w:eastAsia="en-AU"/>
        </w:rPr>
        <w:t>P</w:t>
      </w:r>
      <w:r w:rsidR="00050567" w:rsidRPr="00BB5641">
        <w:rPr>
          <w:rFonts w:ascii="Calibri" w:eastAsia="Times New Roman" w:hAnsi="Calibri" w:cs="Arial"/>
          <w:lang w:val="en-AU" w:eastAsia="en-AU"/>
        </w:rPr>
        <w:t>artner University</w:t>
      </w:r>
      <w:r>
        <w:rPr>
          <w:rFonts w:ascii="Calibri" w:eastAsia="Times New Roman" w:hAnsi="Calibri" w:cs="Arial"/>
          <w:lang w:val="en-AU" w:eastAsia="en-AU"/>
        </w:rPr>
        <w:t>’s laboratories</w:t>
      </w:r>
      <w:r w:rsidR="00050567" w:rsidRPr="00BB5641">
        <w:rPr>
          <w:rFonts w:ascii="Calibri" w:eastAsia="Times New Roman" w:hAnsi="Calibri" w:cs="Arial"/>
          <w:lang w:val="en-AU" w:eastAsia="en-AU"/>
        </w:rPr>
        <w:t xml:space="preserve"> is l</w:t>
      </w:r>
      <w:r>
        <w:rPr>
          <w:rFonts w:ascii="Calibri" w:eastAsia="Times New Roman" w:hAnsi="Calibri" w:cs="Arial"/>
          <w:lang w:val="en-AU" w:eastAsia="en-AU"/>
        </w:rPr>
        <w:t xml:space="preserve">imited to Semesters </w:t>
      </w:r>
      <w:r w:rsidR="00050567" w:rsidRPr="00BB5641">
        <w:rPr>
          <w:rFonts w:ascii="Calibri" w:eastAsia="Times New Roman" w:hAnsi="Calibri" w:cs="Arial"/>
          <w:lang w:val="en-AU" w:eastAsia="en-AU"/>
        </w:rPr>
        <w:t>B</w:t>
      </w:r>
      <w:r>
        <w:rPr>
          <w:rFonts w:ascii="Calibri" w:eastAsia="Times New Roman" w:hAnsi="Calibri" w:cs="Arial"/>
          <w:lang w:val="en-AU" w:eastAsia="en-AU"/>
        </w:rPr>
        <w:t xml:space="preserve"> (2) and </w:t>
      </w:r>
      <w:r w:rsidR="00050567" w:rsidRPr="00BB5641">
        <w:rPr>
          <w:rFonts w:ascii="Calibri" w:eastAsia="Times New Roman" w:hAnsi="Calibri" w:cs="Arial"/>
          <w:lang w:val="en-AU" w:eastAsia="en-AU"/>
        </w:rPr>
        <w:t>C</w:t>
      </w:r>
      <w:r>
        <w:rPr>
          <w:rFonts w:ascii="Calibri" w:eastAsia="Times New Roman" w:hAnsi="Calibri" w:cs="Arial"/>
          <w:lang w:val="en-AU" w:eastAsia="en-AU"/>
        </w:rPr>
        <w:t xml:space="preserve"> (</w:t>
      </w:r>
      <w:r w:rsidR="00050567" w:rsidRPr="00BB5641">
        <w:rPr>
          <w:rFonts w:ascii="Calibri" w:eastAsia="Times New Roman" w:hAnsi="Calibri" w:cs="Arial"/>
          <w:lang w:val="en-AU" w:eastAsia="en-AU"/>
        </w:rPr>
        <w:t>3</w:t>
      </w:r>
      <w:r>
        <w:rPr>
          <w:rFonts w:ascii="Calibri" w:eastAsia="Times New Roman" w:hAnsi="Calibri" w:cs="Arial"/>
          <w:lang w:val="en-AU" w:eastAsia="en-AU"/>
        </w:rPr>
        <w:t>)</w:t>
      </w:r>
      <w:r w:rsidR="00050567" w:rsidRPr="00BB5641">
        <w:rPr>
          <w:rFonts w:ascii="Calibri" w:eastAsia="Times New Roman" w:hAnsi="Calibri" w:cs="Arial"/>
          <w:lang w:val="en-AU" w:eastAsia="en-AU"/>
        </w:rPr>
        <w:t xml:space="preserve"> of its academic year.</w:t>
      </w:r>
    </w:p>
    <w:p w:rsidR="00B2420F" w:rsidRDefault="00B2420F" w:rsidP="00050567">
      <w:pPr>
        <w:spacing w:after="0" w:line="240" w:lineRule="auto"/>
        <w:ind w:left="720"/>
        <w:jc w:val="both"/>
        <w:rPr>
          <w:rFonts w:ascii="Calibri" w:eastAsia="Times New Roman" w:hAnsi="Calibri" w:cs="Arial"/>
          <w:lang w:val="en-AU" w:eastAsia="en-AU"/>
        </w:rPr>
      </w:pPr>
    </w:p>
    <w:p w:rsidR="00046CB6" w:rsidRPr="003E7DC5" w:rsidRDefault="00B2420F" w:rsidP="00B2420F">
      <w:pPr>
        <w:spacing w:after="0" w:line="240" w:lineRule="auto"/>
        <w:ind w:left="709" w:hanging="709"/>
        <w:jc w:val="both"/>
        <w:rPr>
          <w:b/>
        </w:rPr>
      </w:pPr>
      <w:r>
        <w:rPr>
          <w:b/>
        </w:rPr>
        <w:t>8.</w:t>
      </w:r>
      <w:r>
        <w:rPr>
          <w:b/>
        </w:rPr>
        <w:tab/>
        <w:t>TEACHING</w:t>
      </w:r>
      <w:r w:rsidRPr="003E7DC5">
        <w:rPr>
          <w:b/>
        </w:rPr>
        <w:t xml:space="preserve"> MODEL</w:t>
      </w:r>
      <w:r>
        <w:rPr>
          <w:b/>
        </w:rPr>
        <w:t>S AND CLASS SIZES</w:t>
      </w:r>
    </w:p>
    <w:p w:rsidR="00046CB6" w:rsidRDefault="00046CB6" w:rsidP="00046CB6">
      <w:pPr>
        <w:spacing w:after="0" w:line="240" w:lineRule="auto"/>
        <w:jc w:val="both"/>
      </w:pPr>
    </w:p>
    <w:p w:rsidR="006D2210" w:rsidRPr="006D2210" w:rsidRDefault="00C35B5F" w:rsidP="00C35B5F">
      <w:pPr>
        <w:pStyle w:val="PlainText"/>
        <w:jc w:val="both"/>
        <w:rPr>
          <w:rFonts w:ascii="Calibri" w:hAnsi="Calibri" w:cs="Arial"/>
          <w:b/>
          <w:bCs/>
          <w:sz w:val="22"/>
          <w:szCs w:val="22"/>
        </w:rPr>
      </w:pPr>
      <w:r>
        <w:rPr>
          <w:rFonts w:ascii="Calibri" w:hAnsi="Calibri" w:cs="Arial"/>
          <w:b/>
          <w:bCs/>
          <w:sz w:val="22"/>
          <w:szCs w:val="22"/>
        </w:rPr>
        <w:t>8.1</w:t>
      </w:r>
      <w:r>
        <w:rPr>
          <w:rFonts w:ascii="Calibri" w:hAnsi="Calibri" w:cs="Arial"/>
          <w:b/>
          <w:bCs/>
          <w:sz w:val="22"/>
          <w:szCs w:val="22"/>
        </w:rPr>
        <w:tab/>
      </w:r>
      <w:r w:rsidR="006D2210" w:rsidRPr="006D2210">
        <w:rPr>
          <w:rFonts w:ascii="Calibri" w:hAnsi="Calibri" w:cs="Arial"/>
          <w:b/>
          <w:bCs/>
          <w:sz w:val="22"/>
          <w:szCs w:val="22"/>
        </w:rPr>
        <w:t>Delivery Models</w:t>
      </w:r>
    </w:p>
    <w:p w:rsidR="006D2210" w:rsidRDefault="006D2210" w:rsidP="006D2210">
      <w:pPr>
        <w:pStyle w:val="PlainText"/>
        <w:ind w:left="709" w:hanging="709"/>
        <w:jc w:val="both"/>
        <w:rPr>
          <w:rFonts w:ascii="Calibri" w:hAnsi="Calibri" w:cs="Arial"/>
          <w:bCs/>
          <w:sz w:val="22"/>
          <w:szCs w:val="22"/>
        </w:rPr>
      </w:pPr>
    </w:p>
    <w:p w:rsidR="00046CB6" w:rsidRDefault="00046CB6" w:rsidP="006D2210">
      <w:pPr>
        <w:pStyle w:val="PlainText"/>
        <w:ind w:left="709"/>
        <w:jc w:val="both"/>
        <w:rPr>
          <w:rFonts w:ascii="Calibri" w:hAnsi="Calibri" w:cs="Arial"/>
          <w:bCs/>
          <w:sz w:val="22"/>
          <w:szCs w:val="22"/>
        </w:rPr>
      </w:pPr>
      <w:r>
        <w:rPr>
          <w:rFonts w:ascii="Calibri" w:hAnsi="Calibri" w:cs="Arial"/>
          <w:bCs/>
          <w:sz w:val="22"/>
          <w:szCs w:val="22"/>
        </w:rPr>
        <w:t xml:space="preserve">There are two delivery models: the Standard Delivery Model, and the Integrated Delivery Model. </w:t>
      </w:r>
    </w:p>
    <w:p w:rsidR="00046CB6" w:rsidRDefault="00046CB6" w:rsidP="00046CB6">
      <w:pPr>
        <w:pStyle w:val="PlainText"/>
        <w:ind w:left="720" w:hanging="720"/>
        <w:jc w:val="both"/>
        <w:rPr>
          <w:rFonts w:ascii="Calibri" w:hAnsi="Calibri" w:cs="Arial"/>
          <w:sz w:val="22"/>
          <w:szCs w:val="22"/>
        </w:rPr>
      </w:pPr>
    </w:p>
    <w:p w:rsidR="00046CB6" w:rsidRDefault="00B2420F" w:rsidP="00046CB6">
      <w:pPr>
        <w:pStyle w:val="PlainText"/>
        <w:ind w:left="720" w:hanging="720"/>
        <w:jc w:val="both"/>
        <w:rPr>
          <w:rFonts w:ascii="Calibri" w:hAnsi="Calibri" w:cs="Arial"/>
          <w:bCs/>
          <w:sz w:val="22"/>
          <w:szCs w:val="22"/>
        </w:rPr>
      </w:pPr>
      <w:r>
        <w:rPr>
          <w:rFonts w:ascii="Calibri" w:hAnsi="Calibri" w:cs="Arial"/>
          <w:sz w:val="22"/>
          <w:szCs w:val="22"/>
        </w:rPr>
        <w:t>8</w:t>
      </w:r>
      <w:r w:rsidR="00C35B5F">
        <w:rPr>
          <w:rFonts w:ascii="Calibri" w:hAnsi="Calibri" w:cs="Arial"/>
          <w:sz w:val="22"/>
          <w:szCs w:val="22"/>
        </w:rPr>
        <w:t>.1.1</w:t>
      </w:r>
      <w:r w:rsidR="00046CB6">
        <w:rPr>
          <w:rFonts w:ascii="Calibri" w:hAnsi="Calibri" w:cs="Arial"/>
          <w:sz w:val="22"/>
          <w:szCs w:val="22"/>
        </w:rPr>
        <w:tab/>
      </w:r>
      <w:r w:rsidR="00046CB6" w:rsidRPr="00B2420F">
        <w:rPr>
          <w:rFonts w:ascii="Calibri" w:hAnsi="Calibri" w:cs="Arial"/>
          <w:sz w:val="22"/>
          <w:szCs w:val="22"/>
          <w:u w:val="single"/>
        </w:rPr>
        <w:t xml:space="preserve">The </w:t>
      </w:r>
      <w:r w:rsidR="00046CB6" w:rsidRPr="00B2420F">
        <w:rPr>
          <w:rFonts w:ascii="Calibri" w:hAnsi="Calibri" w:cs="Arial"/>
          <w:bCs/>
          <w:sz w:val="22"/>
          <w:szCs w:val="22"/>
          <w:u w:val="single"/>
        </w:rPr>
        <w:t>Standard Delivery Model (SDM)</w:t>
      </w:r>
    </w:p>
    <w:p w:rsidR="00046CB6" w:rsidRPr="003E7DC5" w:rsidRDefault="00046CB6" w:rsidP="00C35B5F">
      <w:pPr>
        <w:pStyle w:val="PlainText"/>
        <w:ind w:left="720"/>
        <w:jc w:val="both"/>
        <w:rPr>
          <w:rFonts w:ascii="Calibri" w:hAnsi="Calibri" w:cs="Arial"/>
          <w:sz w:val="22"/>
          <w:szCs w:val="22"/>
        </w:rPr>
      </w:pPr>
      <w:r>
        <w:rPr>
          <w:rFonts w:ascii="Calibri" w:hAnsi="Calibri" w:cs="Arial"/>
          <w:sz w:val="22"/>
          <w:szCs w:val="22"/>
        </w:rPr>
        <w:t>Under the SDM</w:t>
      </w:r>
      <w:r w:rsidRPr="003E7DC5">
        <w:rPr>
          <w:rFonts w:ascii="Calibri" w:hAnsi="Calibri" w:cs="Arial"/>
          <w:sz w:val="22"/>
          <w:szCs w:val="22"/>
        </w:rPr>
        <w:t xml:space="preserve"> </w:t>
      </w:r>
      <w:r>
        <w:rPr>
          <w:rFonts w:ascii="Calibri" w:hAnsi="Calibri" w:cs="Arial"/>
          <w:sz w:val="22"/>
          <w:szCs w:val="22"/>
        </w:rPr>
        <w:t>a</w:t>
      </w:r>
      <w:r w:rsidRPr="003E7DC5">
        <w:rPr>
          <w:rFonts w:ascii="Calibri" w:hAnsi="Calibri" w:cs="Arial"/>
          <w:sz w:val="22"/>
          <w:szCs w:val="22"/>
        </w:rPr>
        <w:t xml:space="preserve"> College will be responsible for the teaching of </w:t>
      </w:r>
      <w:r>
        <w:rPr>
          <w:rFonts w:ascii="Calibri" w:hAnsi="Calibri" w:cs="Arial"/>
          <w:sz w:val="22"/>
          <w:szCs w:val="22"/>
        </w:rPr>
        <w:t>Stages 1 and 2</w:t>
      </w:r>
      <w:r w:rsidRPr="003E7DC5">
        <w:rPr>
          <w:rFonts w:ascii="Calibri" w:hAnsi="Calibri" w:cs="Arial"/>
          <w:sz w:val="22"/>
          <w:szCs w:val="22"/>
        </w:rPr>
        <w:t xml:space="preserve"> in </w:t>
      </w:r>
      <w:r>
        <w:rPr>
          <w:rFonts w:ascii="Calibri" w:hAnsi="Calibri" w:cs="Arial"/>
          <w:sz w:val="22"/>
          <w:szCs w:val="22"/>
        </w:rPr>
        <w:t>their</w:t>
      </w:r>
      <w:r w:rsidRPr="003E7DC5">
        <w:rPr>
          <w:rFonts w:ascii="Calibri" w:hAnsi="Calibri" w:cs="Arial"/>
          <w:sz w:val="22"/>
          <w:szCs w:val="22"/>
        </w:rPr>
        <w:t xml:space="preserve"> entirety</w:t>
      </w:r>
      <w:r>
        <w:rPr>
          <w:rFonts w:ascii="Calibri" w:hAnsi="Calibri" w:cs="Arial"/>
          <w:sz w:val="22"/>
          <w:szCs w:val="22"/>
        </w:rPr>
        <w:t>.  T</w:t>
      </w:r>
      <w:r w:rsidRPr="003E7DC5">
        <w:rPr>
          <w:rFonts w:ascii="Calibri" w:hAnsi="Calibri" w:cs="Arial"/>
          <w:sz w:val="22"/>
          <w:szCs w:val="22"/>
        </w:rPr>
        <w:t xml:space="preserve">he students remain enrolled in the College and are subject to the </w:t>
      </w:r>
      <w:r>
        <w:rPr>
          <w:rFonts w:ascii="Calibri" w:hAnsi="Calibri" w:cs="Arial"/>
          <w:sz w:val="22"/>
          <w:szCs w:val="22"/>
        </w:rPr>
        <w:t>N</w:t>
      </w:r>
      <w:r w:rsidR="00401965">
        <w:rPr>
          <w:rFonts w:ascii="Calibri" w:hAnsi="Calibri" w:cs="Arial"/>
          <w:sz w:val="22"/>
          <w:szCs w:val="22"/>
        </w:rPr>
        <w:t>PRs</w:t>
      </w:r>
      <w:r w:rsidRPr="003E7DC5">
        <w:rPr>
          <w:rFonts w:ascii="Calibri" w:hAnsi="Calibri" w:cs="Arial"/>
          <w:sz w:val="22"/>
          <w:szCs w:val="22"/>
        </w:rPr>
        <w:t>, attend all classes on the College’</w:t>
      </w:r>
      <w:r>
        <w:rPr>
          <w:rFonts w:ascii="Calibri" w:hAnsi="Calibri" w:cs="Arial"/>
          <w:sz w:val="22"/>
          <w:szCs w:val="22"/>
        </w:rPr>
        <w:t>s premises and are taught by teaching staff</w:t>
      </w:r>
      <w:r w:rsidRPr="003E7DC5">
        <w:rPr>
          <w:rFonts w:ascii="Calibri" w:hAnsi="Calibri" w:cs="Arial"/>
          <w:sz w:val="22"/>
          <w:szCs w:val="22"/>
        </w:rPr>
        <w:t xml:space="preserve"> engaged by the College.  </w:t>
      </w:r>
    </w:p>
    <w:p w:rsidR="00046CB6" w:rsidRPr="003E7DC5" w:rsidRDefault="00046CB6" w:rsidP="00046CB6">
      <w:pPr>
        <w:pStyle w:val="PlainText"/>
        <w:ind w:left="720"/>
        <w:jc w:val="both"/>
        <w:rPr>
          <w:rFonts w:ascii="Calibri" w:hAnsi="Calibri" w:cs="Arial"/>
          <w:sz w:val="22"/>
          <w:szCs w:val="22"/>
        </w:rPr>
      </w:pPr>
    </w:p>
    <w:p w:rsidR="00046CB6" w:rsidRPr="003E7DC5" w:rsidRDefault="00046CB6" w:rsidP="00C35B5F">
      <w:pPr>
        <w:pStyle w:val="PlainText"/>
        <w:ind w:left="720"/>
        <w:jc w:val="both"/>
        <w:rPr>
          <w:rFonts w:ascii="Calibri" w:hAnsi="Calibri" w:cs="Arial"/>
          <w:sz w:val="22"/>
          <w:szCs w:val="22"/>
        </w:rPr>
      </w:pPr>
      <w:r w:rsidRPr="003E7DC5">
        <w:rPr>
          <w:rFonts w:ascii="Calibri" w:hAnsi="Calibri" w:cs="Arial"/>
          <w:sz w:val="22"/>
          <w:szCs w:val="22"/>
        </w:rPr>
        <w:t>This model is designed to maximize numbers per cohort and allows for greater control of th</w:t>
      </w:r>
      <w:r>
        <w:rPr>
          <w:rFonts w:ascii="Calibri" w:hAnsi="Calibri" w:cs="Arial"/>
          <w:sz w:val="22"/>
          <w:szCs w:val="22"/>
        </w:rPr>
        <w:t>e student body and education</w:t>
      </w:r>
      <w:r w:rsidRPr="003E7DC5">
        <w:rPr>
          <w:rFonts w:ascii="Calibri" w:hAnsi="Calibri" w:cs="Arial"/>
          <w:sz w:val="22"/>
          <w:szCs w:val="22"/>
        </w:rPr>
        <w:t xml:space="preserve"> process. Students also benefit from the College pastoral support a</w:t>
      </w:r>
      <w:r>
        <w:rPr>
          <w:rFonts w:ascii="Calibri" w:hAnsi="Calibri" w:cs="Arial"/>
          <w:sz w:val="22"/>
          <w:szCs w:val="22"/>
        </w:rPr>
        <w:t>nd management within a smaller College</w:t>
      </w:r>
      <w:r w:rsidRPr="003E7DC5">
        <w:rPr>
          <w:rFonts w:ascii="Calibri" w:hAnsi="Calibri" w:cs="Arial"/>
          <w:sz w:val="22"/>
          <w:szCs w:val="22"/>
        </w:rPr>
        <w:t xml:space="preserve"> environment </w:t>
      </w:r>
      <w:r>
        <w:rPr>
          <w:rFonts w:ascii="Calibri" w:hAnsi="Calibri" w:cs="Arial"/>
          <w:sz w:val="22"/>
          <w:szCs w:val="22"/>
        </w:rPr>
        <w:t>which provides</w:t>
      </w:r>
      <w:r w:rsidRPr="003E7DC5">
        <w:rPr>
          <w:rFonts w:ascii="Calibri" w:hAnsi="Calibri" w:cs="Arial"/>
          <w:sz w:val="22"/>
          <w:szCs w:val="22"/>
        </w:rPr>
        <w:t xml:space="preserve"> greater stability and guidance with long term benefits. </w:t>
      </w:r>
    </w:p>
    <w:p w:rsidR="00046CB6" w:rsidRPr="003E7DC5" w:rsidRDefault="00046CB6" w:rsidP="00046CB6">
      <w:pPr>
        <w:pStyle w:val="PlainText"/>
        <w:ind w:left="720"/>
        <w:jc w:val="both"/>
        <w:rPr>
          <w:rFonts w:ascii="Calibri" w:eastAsia="MS Mincho" w:hAnsi="Calibri" w:cs="Arial"/>
          <w:sz w:val="22"/>
          <w:szCs w:val="22"/>
        </w:rPr>
      </w:pPr>
    </w:p>
    <w:p w:rsidR="00046CB6" w:rsidRDefault="00046CB6" w:rsidP="00C35B5F">
      <w:pPr>
        <w:pStyle w:val="PlainText"/>
        <w:ind w:left="720"/>
        <w:jc w:val="both"/>
        <w:rPr>
          <w:rFonts w:ascii="Calibri" w:hAnsi="Calibri" w:cs="Arial"/>
          <w:sz w:val="22"/>
          <w:szCs w:val="22"/>
        </w:rPr>
      </w:pPr>
      <w:r w:rsidRPr="003E7DC5">
        <w:rPr>
          <w:rFonts w:ascii="Calibri" w:hAnsi="Calibri" w:cs="Arial"/>
          <w:sz w:val="22"/>
          <w:szCs w:val="22"/>
        </w:rPr>
        <w:t>The SDM is generally implemented for those pathways less dependent on specialist laboratories such as Business and Humanities programmes.</w:t>
      </w:r>
      <w:r>
        <w:rPr>
          <w:rFonts w:ascii="Calibri" w:eastAsia="MS Mincho" w:hAnsi="Calibri" w:cs="Arial"/>
          <w:sz w:val="22"/>
          <w:szCs w:val="22"/>
        </w:rPr>
        <w:t xml:space="preserve"> </w:t>
      </w:r>
      <w:r w:rsidRPr="003E7DC5">
        <w:rPr>
          <w:rFonts w:ascii="Calibri" w:hAnsi="Calibri" w:cs="Arial"/>
          <w:sz w:val="22"/>
          <w:szCs w:val="22"/>
        </w:rPr>
        <w:t>Th</w:t>
      </w:r>
      <w:r>
        <w:rPr>
          <w:rFonts w:ascii="Calibri" w:hAnsi="Calibri" w:cs="Arial"/>
          <w:sz w:val="22"/>
          <w:szCs w:val="22"/>
        </w:rPr>
        <w:t>e</w:t>
      </w:r>
      <w:r w:rsidRPr="003E7DC5">
        <w:rPr>
          <w:rFonts w:ascii="Calibri" w:hAnsi="Calibri" w:cs="Arial"/>
          <w:sz w:val="22"/>
          <w:szCs w:val="22"/>
        </w:rPr>
        <w:t xml:space="preserve"> mod</w:t>
      </w:r>
      <w:r>
        <w:rPr>
          <w:rFonts w:ascii="Calibri" w:hAnsi="Calibri" w:cs="Arial"/>
          <w:sz w:val="22"/>
          <w:szCs w:val="22"/>
        </w:rPr>
        <w:t xml:space="preserve">el </w:t>
      </w:r>
      <w:r w:rsidRPr="003E7DC5">
        <w:rPr>
          <w:rFonts w:ascii="Calibri" w:hAnsi="Calibri" w:cs="Arial"/>
          <w:sz w:val="22"/>
          <w:szCs w:val="22"/>
        </w:rPr>
        <w:t>allow</w:t>
      </w:r>
      <w:r>
        <w:rPr>
          <w:rFonts w:ascii="Calibri" w:hAnsi="Calibri" w:cs="Arial"/>
          <w:sz w:val="22"/>
          <w:szCs w:val="22"/>
        </w:rPr>
        <w:t>s</w:t>
      </w:r>
      <w:r w:rsidRPr="003E7DC5">
        <w:rPr>
          <w:rFonts w:ascii="Calibri" w:hAnsi="Calibri" w:cs="Arial"/>
          <w:sz w:val="22"/>
          <w:szCs w:val="22"/>
        </w:rPr>
        <w:t xml:space="preserve"> for flexibility of intakes</w:t>
      </w:r>
      <w:r>
        <w:rPr>
          <w:rFonts w:ascii="Calibri" w:hAnsi="Calibri" w:cs="Arial"/>
          <w:sz w:val="22"/>
          <w:szCs w:val="22"/>
        </w:rPr>
        <w:t xml:space="preserve"> up to three times a year</w:t>
      </w:r>
      <w:r w:rsidRPr="003E7DC5">
        <w:rPr>
          <w:rFonts w:ascii="Calibri" w:hAnsi="Calibri" w:cs="Arial"/>
          <w:sz w:val="22"/>
          <w:szCs w:val="22"/>
        </w:rPr>
        <w:t xml:space="preserve">. </w:t>
      </w:r>
    </w:p>
    <w:p w:rsidR="00046CB6" w:rsidRPr="00492D7E" w:rsidRDefault="00046CB6" w:rsidP="00046CB6">
      <w:pPr>
        <w:pStyle w:val="PlainText"/>
        <w:ind w:left="720" w:hanging="720"/>
        <w:jc w:val="both"/>
        <w:rPr>
          <w:rFonts w:ascii="Calibri" w:eastAsia="MS Mincho" w:hAnsi="Calibri" w:cs="Arial"/>
          <w:sz w:val="22"/>
          <w:szCs w:val="22"/>
        </w:rPr>
      </w:pPr>
    </w:p>
    <w:p w:rsidR="00046CB6" w:rsidRDefault="006D2210" w:rsidP="00046CB6">
      <w:pPr>
        <w:pStyle w:val="PlainText"/>
        <w:ind w:left="720" w:hanging="720"/>
        <w:jc w:val="both"/>
        <w:rPr>
          <w:rFonts w:ascii="Calibri" w:hAnsi="Calibri" w:cs="Arial"/>
          <w:sz w:val="22"/>
          <w:szCs w:val="22"/>
        </w:rPr>
      </w:pPr>
      <w:r>
        <w:rPr>
          <w:rFonts w:ascii="Calibri" w:hAnsi="Calibri" w:cs="Arial"/>
          <w:sz w:val="22"/>
          <w:szCs w:val="22"/>
        </w:rPr>
        <w:t>8</w:t>
      </w:r>
      <w:r w:rsidR="00C35B5F">
        <w:rPr>
          <w:rFonts w:ascii="Calibri" w:hAnsi="Calibri" w:cs="Arial"/>
          <w:sz w:val="22"/>
          <w:szCs w:val="22"/>
        </w:rPr>
        <w:t>.1.2</w:t>
      </w:r>
      <w:r w:rsidR="00046CB6">
        <w:rPr>
          <w:rFonts w:ascii="Calibri" w:hAnsi="Calibri" w:cs="Arial"/>
          <w:sz w:val="22"/>
          <w:szCs w:val="22"/>
        </w:rPr>
        <w:tab/>
      </w:r>
      <w:r w:rsidR="00046CB6" w:rsidRPr="006D2210">
        <w:rPr>
          <w:rFonts w:ascii="Calibri" w:hAnsi="Calibri" w:cs="Arial"/>
          <w:sz w:val="22"/>
          <w:szCs w:val="22"/>
          <w:u w:val="single"/>
        </w:rPr>
        <w:t>The Integrated Delivery Model (IDM)</w:t>
      </w:r>
    </w:p>
    <w:p w:rsidR="00046CB6" w:rsidRPr="003E7DC5" w:rsidRDefault="00046CB6" w:rsidP="00C35B5F">
      <w:pPr>
        <w:pStyle w:val="PlainText"/>
        <w:ind w:left="720"/>
        <w:jc w:val="both"/>
        <w:rPr>
          <w:rFonts w:ascii="Calibri" w:hAnsi="Calibri" w:cs="Arial"/>
          <w:sz w:val="22"/>
          <w:szCs w:val="22"/>
        </w:rPr>
      </w:pPr>
      <w:r>
        <w:rPr>
          <w:rFonts w:ascii="Calibri" w:hAnsi="Calibri" w:cs="Arial"/>
          <w:sz w:val="22"/>
          <w:szCs w:val="22"/>
        </w:rPr>
        <w:t xml:space="preserve">Under this delivery model, </w:t>
      </w:r>
      <w:r w:rsidRPr="003E7DC5">
        <w:rPr>
          <w:rFonts w:ascii="Calibri" w:hAnsi="Calibri" w:cs="Arial"/>
          <w:sz w:val="22"/>
          <w:szCs w:val="22"/>
        </w:rPr>
        <w:t>students partic</w:t>
      </w:r>
      <w:r>
        <w:rPr>
          <w:rFonts w:ascii="Calibri" w:hAnsi="Calibri" w:cs="Arial"/>
          <w:sz w:val="22"/>
          <w:szCs w:val="22"/>
        </w:rPr>
        <w:t>ipate in Partner University</w:t>
      </w:r>
      <w:r w:rsidRPr="003E7DC5">
        <w:rPr>
          <w:rFonts w:ascii="Calibri" w:hAnsi="Calibri" w:cs="Arial"/>
          <w:sz w:val="22"/>
          <w:szCs w:val="22"/>
        </w:rPr>
        <w:t xml:space="preserve"> classes and laboratory sessions</w:t>
      </w:r>
      <w:r w:rsidRPr="00046CB6">
        <w:rPr>
          <w:rFonts w:ascii="Calibri" w:hAnsi="Calibri" w:cs="Arial"/>
          <w:sz w:val="22"/>
          <w:szCs w:val="22"/>
        </w:rPr>
        <w:t xml:space="preserve"> </w:t>
      </w:r>
      <w:r>
        <w:rPr>
          <w:rFonts w:ascii="Calibri" w:hAnsi="Calibri" w:cs="Arial"/>
          <w:sz w:val="22"/>
          <w:szCs w:val="22"/>
        </w:rPr>
        <w:t xml:space="preserve">for Stage 2 (Level 4 </w:t>
      </w:r>
      <w:r w:rsidRPr="003E7DC5">
        <w:rPr>
          <w:rFonts w:ascii="Calibri" w:hAnsi="Calibri" w:cs="Arial"/>
          <w:sz w:val="22"/>
          <w:szCs w:val="22"/>
        </w:rPr>
        <w:t>equivalent)</w:t>
      </w:r>
      <w:r w:rsidR="00767F88">
        <w:rPr>
          <w:rFonts w:ascii="Calibri" w:hAnsi="Calibri" w:cs="Arial"/>
          <w:sz w:val="22"/>
          <w:szCs w:val="22"/>
        </w:rPr>
        <w:t xml:space="preserve"> alongside University students. </w:t>
      </w:r>
      <w:r w:rsidRPr="003E7DC5">
        <w:rPr>
          <w:rFonts w:ascii="Calibri" w:hAnsi="Calibri" w:cs="Arial"/>
          <w:sz w:val="22"/>
          <w:szCs w:val="22"/>
        </w:rPr>
        <w:t xml:space="preserve"> </w:t>
      </w:r>
      <w:r w:rsidR="00767F88">
        <w:rPr>
          <w:rFonts w:ascii="Calibri" w:hAnsi="Calibri" w:cs="Arial"/>
          <w:sz w:val="22"/>
          <w:szCs w:val="22"/>
        </w:rPr>
        <w:t xml:space="preserve">Thus the substantive </w:t>
      </w:r>
      <w:r w:rsidRPr="003E7DC5">
        <w:rPr>
          <w:rFonts w:ascii="Calibri" w:hAnsi="Calibri" w:cs="Arial"/>
          <w:sz w:val="22"/>
          <w:szCs w:val="22"/>
        </w:rPr>
        <w:t xml:space="preserve">teaching of the </w:t>
      </w:r>
      <w:r w:rsidR="00767F88">
        <w:rPr>
          <w:rFonts w:ascii="Calibri" w:hAnsi="Calibri" w:cs="Arial"/>
          <w:sz w:val="22"/>
          <w:szCs w:val="22"/>
        </w:rPr>
        <w:t xml:space="preserve">stage 2 </w:t>
      </w:r>
      <w:r w:rsidRPr="003E7DC5">
        <w:rPr>
          <w:rFonts w:ascii="Calibri" w:hAnsi="Calibri" w:cs="Arial"/>
          <w:sz w:val="22"/>
          <w:szCs w:val="22"/>
        </w:rPr>
        <w:t>modules will be delivered by the University</w:t>
      </w:r>
      <w:r w:rsidR="00767F88">
        <w:rPr>
          <w:rFonts w:ascii="Calibri" w:hAnsi="Calibri" w:cs="Arial"/>
          <w:sz w:val="22"/>
          <w:szCs w:val="22"/>
        </w:rPr>
        <w:t>,</w:t>
      </w:r>
      <w:r w:rsidRPr="003E7DC5">
        <w:rPr>
          <w:rFonts w:ascii="Calibri" w:hAnsi="Calibri" w:cs="Arial"/>
          <w:sz w:val="22"/>
          <w:szCs w:val="22"/>
        </w:rPr>
        <w:t xml:space="preserve"> </w:t>
      </w:r>
      <w:r w:rsidR="00767F88">
        <w:rPr>
          <w:rFonts w:ascii="Calibri" w:hAnsi="Calibri" w:cs="Arial"/>
          <w:sz w:val="22"/>
          <w:szCs w:val="22"/>
        </w:rPr>
        <w:t>but</w:t>
      </w:r>
      <w:r w:rsidRPr="003E7DC5">
        <w:rPr>
          <w:rFonts w:ascii="Calibri" w:hAnsi="Calibri" w:cs="Arial"/>
          <w:sz w:val="22"/>
          <w:szCs w:val="22"/>
        </w:rPr>
        <w:t xml:space="preserve"> the College will provide additional tutorial support of between six (6) and eight (8) </w:t>
      </w:r>
      <w:r w:rsidR="00767F88">
        <w:rPr>
          <w:rFonts w:ascii="Calibri" w:hAnsi="Calibri" w:cs="Arial"/>
          <w:sz w:val="22"/>
          <w:szCs w:val="22"/>
        </w:rPr>
        <w:t xml:space="preserve">hours </w:t>
      </w:r>
      <w:r w:rsidRPr="003E7DC5">
        <w:rPr>
          <w:rFonts w:ascii="Calibri" w:hAnsi="Calibri" w:cs="Arial"/>
          <w:sz w:val="22"/>
          <w:szCs w:val="22"/>
        </w:rPr>
        <w:t>per week</w:t>
      </w:r>
      <w:r>
        <w:rPr>
          <w:rFonts w:ascii="Calibri" w:hAnsi="Calibri" w:cs="Arial"/>
          <w:sz w:val="22"/>
          <w:szCs w:val="22"/>
        </w:rPr>
        <w:t xml:space="preserve"> per student</w:t>
      </w:r>
      <w:r w:rsidRPr="003E7DC5">
        <w:rPr>
          <w:rFonts w:ascii="Calibri" w:hAnsi="Calibri" w:cs="Arial"/>
          <w:sz w:val="22"/>
          <w:szCs w:val="22"/>
        </w:rPr>
        <w:t xml:space="preserve">, with mentoring as required. Under this model the teaching service is </w:t>
      </w:r>
      <w:r w:rsidR="00767F88">
        <w:rPr>
          <w:rFonts w:ascii="Calibri" w:hAnsi="Calibri" w:cs="Arial"/>
          <w:sz w:val="22"/>
          <w:szCs w:val="22"/>
        </w:rPr>
        <w:t xml:space="preserve">effectively </w:t>
      </w:r>
      <w:r w:rsidRPr="003E7DC5">
        <w:rPr>
          <w:rFonts w:ascii="Calibri" w:hAnsi="Calibri" w:cs="Arial"/>
          <w:sz w:val="22"/>
          <w:szCs w:val="22"/>
        </w:rPr>
        <w:t xml:space="preserve">‘outsourced’ to the Schools in the </w:t>
      </w:r>
      <w:r w:rsidR="00767F88">
        <w:rPr>
          <w:rFonts w:ascii="Calibri" w:hAnsi="Calibri" w:cs="Arial"/>
          <w:sz w:val="22"/>
          <w:szCs w:val="22"/>
        </w:rPr>
        <w:t xml:space="preserve">Partner </w:t>
      </w:r>
      <w:r w:rsidRPr="003E7DC5">
        <w:rPr>
          <w:rFonts w:ascii="Calibri" w:hAnsi="Calibri" w:cs="Arial"/>
          <w:sz w:val="22"/>
          <w:szCs w:val="22"/>
        </w:rPr>
        <w:t>University.</w:t>
      </w:r>
    </w:p>
    <w:p w:rsidR="00046CB6" w:rsidRPr="003E7DC5" w:rsidRDefault="00046CB6" w:rsidP="00046CB6">
      <w:pPr>
        <w:pStyle w:val="PlainText"/>
        <w:ind w:left="720"/>
        <w:jc w:val="both"/>
        <w:rPr>
          <w:rFonts w:ascii="Calibri" w:hAnsi="Calibri" w:cs="Arial"/>
          <w:sz w:val="22"/>
          <w:szCs w:val="22"/>
        </w:rPr>
      </w:pPr>
    </w:p>
    <w:p w:rsidR="00767F88" w:rsidRDefault="00767F88" w:rsidP="00C35B5F">
      <w:pPr>
        <w:pStyle w:val="PlainText"/>
        <w:ind w:left="720"/>
        <w:jc w:val="both"/>
        <w:rPr>
          <w:rFonts w:ascii="Calibri" w:hAnsi="Calibri" w:cs="Arial"/>
          <w:sz w:val="22"/>
          <w:szCs w:val="22"/>
        </w:rPr>
      </w:pPr>
      <w:r>
        <w:rPr>
          <w:rFonts w:ascii="Calibri" w:hAnsi="Calibri" w:cs="Arial"/>
          <w:sz w:val="22"/>
          <w:szCs w:val="22"/>
        </w:rPr>
        <w:t xml:space="preserve">Under IDM, the students will take the same assessments as their University counterparts, which will be marked according to University assessment regulations.  </w:t>
      </w:r>
    </w:p>
    <w:p w:rsidR="00767F88" w:rsidRDefault="00767F88" w:rsidP="00046CB6">
      <w:pPr>
        <w:pStyle w:val="PlainText"/>
        <w:ind w:left="720" w:hanging="720"/>
        <w:jc w:val="both"/>
        <w:rPr>
          <w:rFonts w:ascii="Calibri" w:hAnsi="Calibri" w:cs="Arial"/>
          <w:sz w:val="22"/>
          <w:szCs w:val="22"/>
        </w:rPr>
      </w:pPr>
    </w:p>
    <w:p w:rsidR="00046CB6" w:rsidRPr="003E7DC5" w:rsidRDefault="00046CB6" w:rsidP="00C35B5F">
      <w:pPr>
        <w:pStyle w:val="PlainText"/>
        <w:ind w:left="720"/>
        <w:jc w:val="both"/>
        <w:rPr>
          <w:rFonts w:ascii="Calibri" w:hAnsi="Calibri" w:cs="Arial"/>
          <w:sz w:val="22"/>
          <w:szCs w:val="22"/>
        </w:rPr>
      </w:pPr>
      <w:r w:rsidRPr="003E7DC5">
        <w:rPr>
          <w:rFonts w:ascii="Calibri" w:hAnsi="Calibri" w:cs="Arial"/>
          <w:sz w:val="22"/>
          <w:szCs w:val="22"/>
        </w:rPr>
        <w:t>The IDM is normally implemented for pathways involving specialist laboratories such as engineering, tec</w:t>
      </w:r>
      <w:r>
        <w:rPr>
          <w:rFonts w:ascii="Calibri" w:hAnsi="Calibri" w:cs="Arial"/>
          <w:sz w:val="22"/>
          <w:szCs w:val="22"/>
        </w:rPr>
        <w:t>hnology and science programmes and runs</w:t>
      </w:r>
      <w:r w:rsidRPr="003E7DC5">
        <w:rPr>
          <w:rFonts w:ascii="Calibri" w:hAnsi="Calibri" w:cs="Arial"/>
          <w:sz w:val="22"/>
          <w:szCs w:val="22"/>
        </w:rPr>
        <w:t xml:space="preserve"> to the normal University academic year.</w:t>
      </w:r>
    </w:p>
    <w:p w:rsidR="00046CB6" w:rsidRPr="00492D7E" w:rsidRDefault="00046CB6" w:rsidP="00046CB6">
      <w:pPr>
        <w:pStyle w:val="PlainText"/>
        <w:jc w:val="both"/>
        <w:rPr>
          <w:rFonts w:ascii="Calibri" w:hAnsi="Calibri" w:cs="Arial"/>
          <w:sz w:val="22"/>
          <w:szCs w:val="22"/>
        </w:rPr>
      </w:pPr>
    </w:p>
    <w:p w:rsidR="00CB74A1" w:rsidRPr="006D2210" w:rsidRDefault="006D2210" w:rsidP="00573882">
      <w:pPr>
        <w:spacing w:after="0" w:line="240" w:lineRule="auto"/>
        <w:jc w:val="both"/>
        <w:rPr>
          <w:b/>
        </w:rPr>
      </w:pPr>
      <w:r w:rsidRPr="006D2210">
        <w:rPr>
          <w:b/>
        </w:rPr>
        <w:t>8</w:t>
      </w:r>
      <w:r w:rsidR="00C35B5F">
        <w:rPr>
          <w:b/>
        </w:rPr>
        <w:t>.2</w:t>
      </w:r>
      <w:r w:rsidR="00767F88" w:rsidRPr="006D2210">
        <w:rPr>
          <w:b/>
        </w:rPr>
        <w:tab/>
      </w:r>
      <w:r w:rsidR="00D07BC1" w:rsidRPr="006D2210">
        <w:rPr>
          <w:b/>
        </w:rPr>
        <w:t>Class Sizes</w:t>
      </w:r>
    </w:p>
    <w:p w:rsidR="00D07BC1" w:rsidRDefault="00D07BC1" w:rsidP="00573882">
      <w:pPr>
        <w:spacing w:after="0" w:line="240" w:lineRule="auto"/>
        <w:jc w:val="both"/>
      </w:pPr>
    </w:p>
    <w:p w:rsidR="009B05CB" w:rsidRDefault="00401965" w:rsidP="00401965">
      <w:pPr>
        <w:spacing w:after="0" w:line="240" w:lineRule="auto"/>
        <w:ind w:left="709" w:hanging="709"/>
        <w:jc w:val="both"/>
      </w:pPr>
      <w:r>
        <w:t>8.2.1</w:t>
      </w:r>
      <w:r>
        <w:tab/>
      </w:r>
      <w:r w:rsidR="009B05CB">
        <w:t>Navitas Colleges</w:t>
      </w:r>
      <w:r w:rsidR="009B05CB" w:rsidRPr="00573882">
        <w:t xml:space="preserve"> provide an alternate pedagogy, incorporating small classes with focused teaching, additional contact hours each week </w:t>
      </w:r>
      <w:r w:rsidR="009B05CB">
        <w:t xml:space="preserve">to the university norm, </w:t>
      </w:r>
      <w:r w:rsidR="009B05CB" w:rsidRPr="00573882">
        <w:t>and comprehensive student support services to give students at both under</w:t>
      </w:r>
      <w:r w:rsidR="009B05CB">
        <w:t>graduate and postgraduate level</w:t>
      </w:r>
      <w:r w:rsidR="009B05CB" w:rsidRPr="00573882">
        <w:t xml:space="preserve"> every opportunity to adjust to their new environment and to build their </w:t>
      </w:r>
      <w:r w:rsidR="009B05CB">
        <w:t>subject knowledge</w:t>
      </w:r>
      <w:r w:rsidR="009B05CB" w:rsidRPr="00573882">
        <w:t xml:space="preserve"> and study/communication skil</w:t>
      </w:r>
      <w:r w:rsidR="009B05CB">
        <w:t>ls prior to progressing to the Partner University</w:t>
      </w:r>
      <w:r w:rsidR="009B05CB" w:rsidRPr="00573882">
        <w:t xml:space="preserve"> to complete</w:t>
      </w:r>
      <w:r w:rsidR="009B05CB">
        <w:t xml:space="preserve"> their studies.</w:t>
      </w:r>
    </w:p>
    <w:p w:rsidR="003E7DC5" w:rsidRDefault="00401965" w:rsidP="00401965">
      <w:pPr>
        <w:spacing w:after="0" w:line="240" w:lineRule="auto"/>
        <w:ind w:left="709" w:hanging="709"/>
        <w:jc w:val="both"/>
        <w:rPr>
          <w:rFonts w:ascii="Calibri" w:hAnsi="Calibri" w:cs="Arial"/>
        </w:rPr>
      </w:pPr>
      <w:r>
        <w:rPr>
          <w:rFonts w:ascii="Calibri" w:hAnsi="Calibri" w:cs="Arial"/>
        </w:rPr>
        <w:t>8.2.2</w:t>
      </w:r>
      <w:r>
        <w:rPr>
          <w:rFonts w:ascii="Calibri" w:hAnsi="Calibri" w:cs="Arial"/>
        </w:rPr>
        <w:tab/>
      </w:r>
      <w:r w:rsidR="003E7DC5" w:rsidRPr="003E7DC5">
        <w:rPr>
          <w:rFonts w:ascii="Calibri" w:hAnsi="Calibri" w:cs="Arial"/>
        </w:rPr>
        <w:t>C</w:t>
      </w:r>
      <w:r w:rsidR="00767F88">
        <w:rPr>
          <w:rFonts w:ascii="Calibri" w:hAnsi="Calibri" w:cs="Arial"/>
        </w:rPr>
        <w:t>ollege c</w:t>
      </w:r>
      <w:r w:rsidR="003E7DC5" w:rsidRPr="003E7DC5">
        <w:rPr>
          <w:rFonts w:ascii="Calibri" w:hAnsi="Calibri" w:cs="Arial"/>
        </w:rPr>
        <w:t xml:space="preserve">lass sizes vary </w:t>
      </w:r>
      <w:r w:rsidR="00D07BC1">
        <w:rPr>
          <w:rFonts w:ascii="Calibri" w:hAnsi="Calibri" w:cs="Arial"/>
        </w:rPr>
        <w:t>according to</w:t>
      </w:r>
      <w:r w:rsidR="00492D7E">
        <w:rPr>
          <w:rFonts w:ascii="Calibri" w:hAnsi="Calibri" w:cs="Arial"/>
        </w:rPr>
        <w:t xml:space="preserve"> the module </w:t>
      </w:r>
      <w:r w:rsidR="003E7DC5">
        <w:rPr>
          <w:rFonts w:ascii="Calibri" w:hAnsi="Calibri" w:cs="Arial"/>
        </w:rPr>
        <w:t>and the size of the cohort</w:t>
      </w:r>
      <w:r w:rsidR="00D07BC1">
        <w:rPr>
          <w:rFonts w:ascii="Calibri" w:hAnsi="Calibri" w:cs="Arial"/>
        </w:rPr>
        <w:t xml:space="preserve">.  Colleges will endeavour to adhere to </w:t>
      </w:r>
      <w:r w:rsidR="006D2210">
        <w:rPr>
          <w:rFonts w:ascii="Calibri" w:hAnsi="Calibri" w:cs="Arial"/>
        </w:rPr>
        <w:t>the guidelines given in figure 8</w:t>
      </w:r>
      <w:r w:rsidR="00D07BC1">
        <w:rPr>
          <w:rFonts w:ascii="Calibri" w:hAnsi="Calibri" w:cs="Arial"/>
        </w:rPr>
        <w:t>.</w:t>
      </w:r>
    </w:p>
    <w:p w:rsidR="00492D7E" w:rsidRDefault="00492D7E" w:rsidP="00492D7E">
      <w:pPr>
        <w:spacing w:after="0" w:line="240" w:lineRule="auto"/>
        <w:jc w:val="both"/>
        <w:rPr>
          <w:rFonts w:ascii="Calibri" w:hAnsi="Calibri" w:cs="Arial"/>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3969"/>
      </w:tblGrid>
      <w:tr w:rsidR="003E7DC5" w:rsidRPr="003E7DC5" w:rsidTr="00767F88">
        <w:tc>
          <w:tcPr>
            <w:tcW w:w="5103" w:type="dxa"/>
            <w:shd w:val="clear" w:color="auto" w:fill="EAF1DD" w:themeFill="accent3" w:themeFillTint="33"/>
          </w:tcPr>
          <w:p w:rsidR="003E7DC5" w:rsidRPr="00532A26" w:rsidRDefault="00492D7E" w:rsidP="003E7DC5">
            <w:pPr>
              <w:spacing w:after="0" w:line="240" w:lineRule="auto"/>
              <w:jc w:val="center"/>
              <w:rPr>
                <w:rFonts w:ascii="Calibri" w:hAnsi="Calibri" w:cs="Arial"/>
                <w:b/>
                <w:color w:val="595959" w:themeColor="text1" w:themeTint="A6"/>
              </w:rPr>
            </w:pPr>
            <w:r w:rsidRPr="00532A26">
              <w:rPr>
                <w:rFonts w:ascii="Calibri" w:hAnsi="Calibri" w:cs="Arial"/>
                <w:b/>
                <w:color w:val="595959" w:themeColor="text1" w:themeTint="A6"/>
              </w:rPr>
              <w:t>Module type and level – Standard Delivery Model</w:t>
            </w:r>
          </w:p>
        </w:tc>
        <w:tc>
          <w:tcPr>
            <w:tcW w:w="3969" w:type="dxa"/>
            <w:shd w:val="clear" w:color="auto" w:fill="EAF1DD" w:themeFill="accent3" w:themeFillTint="33"/>
          </w:tcPr>
          <w:p w:rsidR="003E7DC5" w:rsidRPr="00532A26" w:rsidRDefault="003E7DC5" w:rsidP="003E7DC5">
            <w:pPr>
              <w:spacing w:after="0" w:line="240" w:lineRule="auto"/>
              <w:jc w:val="center"/>
              <w:rPr>
                <w:rFonts w:ascii="Calibri" w:hAnsi="Calibri" w:cs="Arial"/>
                <w:b/>
                <w:color w:val="595959" w:themeColor="text1" w:themeTint="A6"/>
              </w:rPr>
            </w:pPr>
            <w:r w:rsidRPr="00532A26">
              <w:rPr>
                <w:rFonts w:ascii="Calibri" w:hAnsi="Calibri" w:cs="Arial"/>
                <w:b/>
                <w:color w:val="595959" w:themeColor="text1" w:themeTint="A6"/>
              </w:rPr>
              <w:t>Maximum number of students per class</w:t>
            </w:r>
          </w:p>
        </w:tc>
      </w:tr>
      <w:tr w:rsidR="003E7DC5" w:rsidRPr="003E7DC5" w:rsidTr="00767F88">
        <w:tc>
          <w:tcPr>
            <w:tcW w:w="5103" w:type="dxa"/>
          </w:tcPr>
          <w:p w:rsidR="003E7DC5" w:rsidRPr="003E7DC5" w:rsidRDefault="003E7DC5" w:rsidP="003E7DC5">
            <w:pPr>
              <w:spacing w:after="0" w:line="240" w:lineRule="auto"/>
              <w:jc w:val="both"/>
              <w:rPr>
                <w:rFonts w:ascii="Calibri" w:hAnsi="Calibri" w:cs="Arial"/>
              </w:rPr>
            </w:pPr>
            <w:r w:rsidRPr="003E7DC5">
              <w:rPr>
                <w:rFonts w:ascii="Calibri" w:hAnsi="Calibri" w:cs="Arial"/>
              </w:rPr>
              <w:t>ILSC 1-5 and general study skills</w:t>
            </w:r>
          </w:p>
        </w:tc>
        <w:tc>
          <w:tcPr>
            <w:tcW w:w="3969" w:type="dxa"/>
          </w:tcPr>
          <w:p w:rsidR="003E7DC5" w:rsidRPr="003E7DC5" w:rsidRDefault="003E7DC5" w:rsidP="003E7DC5">
            <w:pPr>
              <w:spacing w:after="0" w:line="240" w:lineRule="auto"/>
              <w:jc w:val="center"/>
              <w:rPr>
                <w:rFonts w:ascii="Calibri" w:hAnsi="Calibri" w:cs="Arial"/>
              </w:rPr>
            </w:pPr>
            <w:r w:rsidRPr="003E7DC5">
              <w:rPr>
                <w:rFonts w:ascii="Calibri" w:hAnsi="Calibri" w:cs="Arial"/>
              </w:rPr>
              <w:t>25</w:t>
            </w:r>
          </w:p>
        </w:tc>
      </w:tr>
      <w:tr w:rsidR="003E7DC5" w:rsidRPr="003E7DC5" w:rsidTr="00767F88">
        <w:tc>
          <w:tcPr>
            <w:tcW w:w="5103" w:type="dxa"/>
          </w:tcPr>
          <w:p w:rsidR="003E7DC5" w:rsidRPr="003E7DC5" w:rsidRDefault="003E7DC5" w:rsidP="003E7DC5">
            <w:pPr>
              <w:spacing w:after="0" w:line="240" w:lineRule="auto"/>
              <w:jc w:val="both"/>
              <w:rPr>
                <w:rFonts w:ascii="Calibri" w:hAnsi="Calibri" w:cs="Arial"/>
              </w:rPr>
            </w:pPr>
            <w:r w:rsidRPr="003E7DC5">
              <w:rPr>
                <w:rFonts w:ascii="Calibri" w:hAnsi="Calibri" w:cs="Arial"/>
              </w:rPr>
              <w:t>ICT</w:t>
            </w:r>
          </w:p>
        </w:tc>
        <w:tc>
          <w:tcPr>
            <w:tcW w:w="3969" w:type="dxa"/>
          </w:tcPr>
          <w:p w:rsidR="003E7DC5" w:rsidRPr="003E7DC5" w:rsidRDefault="003E7DC5" w:rsidP="003E7DC5">
            <w:pPr>
              <w:spacing w:after="0" w:line="240" w:lineRule="auto"/>
              <w:jc w:val="center"/>
              <w:rPr>
                <w:rFonts w:ascii="Calibri" w:hAnsi="Calibri" w:cs="Arial"/>
              </w:rPr>
            </w:pPr>
            <w:r w:rsidRPr="003E7DC5">
              <w:rPr>
                <w:rFonts w:ascii="Calibri" w:hAnsi="Calibri" w:cs="Arial"/>
              </w:rPr>
              <w:t>2</w:t>
            </w:r>
            <w:r>
              <w:rPr>
                <w:rFonts w:ascii="Calibri" w:hAnsi="Calibri" w:cs="Arial"/>
              </w:rPr>
              <w:t>5-30</w:t>
            </w:r>
          </w:p>
        </w:tc>
      </w:tr>
      <w:tr w:rsidR="003E7DC5" w:rsidRPr="003E7DC5" w:rsidTr="00767F88">
        <w:tc>
          <w:tcPr>
            <w:tcW w:w="5103" w:type="dxa"/>
          </w:tcPr>
          <w:p w:rsidR="003E7DC5" w:rsidRPr="003E7DC5" w:rsidRDefault="003E7DC5" w:rsidP="003E7DC5">
            <w:pPr>
              <w:spacing w:after="0" w:line="240" w:lineRule="auto"/>
              <w:jc w:val="both"/>
              <w:rPr>
                <w:rFonts w:ascii="Calibri" w:hAnsi="Calibri" w:cs="Arial"/>
              </w:rPr>
            </w:pPr>
            <w:r w:rsidRPr="003E7DC5">
              <w:rPr>
                <w:rFonts w:ascii="Calibri" w:hAnsi="Calibri" w:cs="Arial"/>
              </w:rPr>
              <w:t>Foundation</w:t>
            </w:r>
            <w:r>
              <w:rPr>
                <w:rFonts w:ascii="Calibri" w:hAnsi="Calibri" w:cs="Arial"/>
              </w:rPr>
              <w:t xml:space="preserve"> (Level 0)</w:t>
            </w:r>
          </w:p>
        </w:tc>
        <w:tc>
          <w:tcPr>
            <w:tcW w:w="3969" w:type="dxa"/>
          </w:tcPr>
          <w:p w:rsidR="003E7DC5" w:rsidRPr="003E7DC5" w:rsidRDefault="00E048A5" w:rsidP="003E7DC5">
            <w:pPr>
              <w:spacing w:after="0" w:line="240" w:lineRule="auto"/>
              <w:jc w:val="center"/>
              <w:rPr>
                <w:rFonts w:ascii="Calibri" w:hAnsi="Calibri" w:cs="Arial"/>
              </w:rPr>
            </w:pPr>
            <w:r>
              <w:rPr>
                <w:rFonts w:ascii="Calibri" w:hAnsi="Calibri" w:cs="Arial"/>
              </w:rPr>
              <w:t>36</w:t>
            </w:r>
          </w:p>
        </w:tc>
      </w:tr>
      <w:tr w:rsidR="003E7DC5" w:rsidRPr="003E7DC5" w:rsidTr="00767F88">
        <w:tc>
          <w:tcPr>
            <w:tcW w:w="5103" w:type="dxa"/>
          </w:tcPr>
          <w:p w:rsidR="003E7DC5" w:rsidRPr="003E7DC5" w:rsidRDefault="003E7DC5" w:rsidP="003E7DC5">
            <w:pPr>
              <w:spacing w:after="0" w:line="240" w:lineRule="auto"/>
              <w:jc w:val="both"/>
              <w:rPr>
                <w:rFonts w:ascii="Calibri" w:hAnsi="Calibri" w:cs="Arial"/>
              </w:rPr>
            </w:pPr>
            <w:r>
              <w:rPr>
                <w:rFonts w:ascii="Calibri" w:hAnsi="Calibri" w:cs="Arial"/>
              </w:rPr>
              <w:t xml:space="preserve">First </w:t>
            </w:r>
            <w:r w:rsidRPr="003E7DC5">
              <w:rPr>
                <w:rFonts w:ascii="Calibri" w:hAnsi="Calibri" w:cs="Arial"/>
              </w:rPr>
              <w:t>Year Degree (equivalent</w:t>
            </w:r>
            <w:r>
              <w:rPr>
                <w:rFonts w:ascii="Calibri" w:hAnsi="Calibri" w:cs="Arial"/>
              </w:rPr>
              <w:t xml:space="preserve"> Level 4</w:t>
            </w:r>
            <w:r w:rsidRPr="003E7DC5">
              <w:rPr>
                <w:rFonts w:ascii="Calibri" w:hAnsi="Calibri" w:cs="Arial"/>
              </w:rPr>
              <w:t>)</w:t>
            </w:r>
            <w:r>
              <w:rPr>
                <w:rFonts w:ascii="Calibri" w:hAnsi="Calibri" w:cs="Arial"/>
              </w:rPr>
              <w:t xml:space="preserve"> </w:t>
            </w:r>
          </w:p>
        </w:tc>
        <w:tc>
          <w:tcPr>
            <w:tcW w:w="3969" w:type="dxa"/>
          </w:tcPr>
          <w:p w:rsidR="003E7DC5" w:rsidRPr="003E7DC5" w:rsidRDefault="003E7DC5" w:rsidP="003E7DC5">
            <w:pPr>
              <w:spacing w:after="0" w:line="240" w:lineRule="auto"/>
              <w:jc w:val="center"/>
              <w:rPr>
                <w:rFonts w:ascii="Calibri" w:hAnsi="Calibri" w:cs="Arial"/>
              </w:rPr>
            </w:pPr>
            <w:r w:rsidRPr="003E7DC5">
              <w:rPr>
                <w:rFonts w:ascii="Calibri" w:hAnsi="Calibri" w:cs="Arial"/>
              </w:rPr>
              <w:t>36</w:t>
            </w:r>
          </w:p>
        </w:tc>
      </w:tr>
      <w:tr w:rsidR="003E7DC5" w:rsidRPr="003E7DC5" w:rsidTr="00767F88">
        <w:tc>
          <w:tcPr>
            <w:tcW w:w="5103" w:type="dxa"/>
          </w:tcPr>
          <w:p w:rsidR="003E7DC5" w:rsidRPr="003E7DC5" w:rsidRDefault="003E7DC5" w:rsidP="003E7DC5">
            <w:pPr>
              <w:spacing w:after="0" w:line="240" w:lineRule="auto"/>
              <w:jc w:val="both"/>
              <w:rPr>
                <w:rFonts w:ascii="Calibri" w:hAnsi="Calibri" w:cs="Arial"/>
              </w:rPr>
            </w:pPr>
            <w:r>
              <w:rPr>
                <w:rFonts w:ascii="Calibri" w:hAnsi="Calibri" w:cs="Arial"/>
              </w:rPr>
              <w:t xml:space="preserve">Pre-Masters </w:t>
            </w:r>
          </w:p>
        </w:tc>
        <w:tc>
          <w:tcPr>
            <w:tcW w:w="3969" w:type="dxa"/>
          </w:tcPr>
          <w:p w:rsidR="003E7DC5" w:rsidRPr="003E7DC5" w:rsidRDefault="00E048A5" w:rsidP="003E7DC5">
            <w:pPr>
              <w:spacing w:after="0" w:line="240" w:lineRule="auto"/>
              <w:jc w:val="center"/>
              <w:rPr>
                <w:rFonts w:ascii="Calibri" w:hAnsi="Calibri" w:cs="Arial"/>
              </w:rPr>
            </w:pPr>
            <w:r>
              <w:rPr>
                <w:rFonts w:ascii="Calibri" w:hAnsi="Calibri" w:cs="Arial"/>
              </w:rPr>
              <w:t>36</w:t>
            </w:r>
          </w:p>
        </w:tc>
      </w:tr>
      <w:tr w:rsidR="003E7DC5" w:rsidRPr="003E7DC5" w:rsidTr="00767F88">
        <w:tc>
          <w:tcPr>
            <w:tcW w:w="5103" w:type="dxa"/>
          </w:tcPr>
          <w:p w:rsidR="003E7DC5" w:rsidRPr="003E7DC5" w:rsidRDefault="003E7DC5" w:rsidP="003E7DC5">
            <w:pPr>
              <w:spacing w:after="0" w:line="240" w:lineRule="auto"/>
              <w:jc w:val="both"/>
              <w:rPr>
                <w:rFonts w:ascii="Calibri" w:hAnsi="Calibri" w:cs="Arial"/>
              </w:rPr>
            </w:pPr>
            <w:r w:rsidRPr="003E7DC5">
              <w:rPr>
                <w:rFonts w:ascii="Calibri" w:hAnsi="Calibri" w:cs="Arial"/>
              </w:rPr>
              <w:t xml:space="preserve">Tutorials </w:t>
            </w:r>
            <w:r>
              <w:rPr>
                <w:rFonts w:ascii="Calibri" w:hAnsi="Calibri" w:cs="Arial"/>
              </w:rPr>
              <w:t>and Seminars</w:t>
            </w:r>
          </w:p>
        </w:tc>
        <w:tc>
          <w:tcPr>
            <w:tcW w:w="3969" w:type="dxa"/>
          </w:tcPr>
          <w:p w:rsidR="003E7DC5" w:rsidRPr="003E7DC5" w:rsidRDefault="003E7DC5" w:rsidP="003E7DC5">
            <w:pPr>
              <w:spacing w:after="0" w:line="240" w:lineRule="auto"/>
              <w:jc w:val="center"/>
              <w:rPr>
                <w:rFonts w:ascii="Calibri" w:hAnsi="Calibri" w:cs="Arial"/>
              </w:rPr>
            </w:pPr>
            <w:r w:rsidRPr="003E7DC5">
              <w:rPr>
                <w:rFonts w:ascii="Calibri" w:hAnsi="Calibri" w:cs="Arial"/>
              </w:rPr>
              <w:t>15</w:t>
            </w:r>
            <w:r w:rsidR="00E048A5">
              <w:rPr>
                <w:rFonts w:ascii="Calibri" w:hAnsi="Calibri" w:cs="Arial"/>
              </w:rPr>
              <w:t xml:space="preserve"> – 20</w:t>
            </w:r>
          </w:p>
        </w:tc>
      </w:tr>
      <w:tr w:rsidR="003E7DC5" w:rsidRPr="003E7DC5" w:rsidTr="00767F88">
        <w:tc>
          <w:tcPr>
            <w:tcW w:w="5103" w:type="dxa"/>
          </w:tcPr>
          <w:p w:rsidR="003E7DC5" w:rsidRPr="003E7DC5" w:rsidRDefault="003E7DC5" w:rsidP="003E7DC5">
            <w:pPr>
              <w:spacing w:after="0" w:line="240" w:lineRule="auto"/>
              <w:jc w:val="both"/>
              <w:rPr>
                <w:rFonts w:ascii="Calibri" w:hAnsi="Calibri" w:cs="Arial"/>
              </w:rPr>
            </w:pPr>
            <w:r w:rsidRPr="003E7DC5">
              <w:rPr>
                <w:rFonts w:ascii="Calibri" w:hAnsi="Calibri" w:cs="Arial"/>
              </w:rPr>
              <w:t xml:space="preserve">Small study groups </w:t>
            </w:r>
          </w:p>
        </w:tc>
        <w:tc>
          <w:tcPr>
            <w:tcW w:w="3969" w:type="dxa"/>
          </w:tcPr>
          <w:p w:rsidR="003E7DC5" w:rsidRPr="003E7DC5" w:rsidRDefault="003E7DC5" w:rsidP="003E7DC5">
            <w:pPr>
              <w:spacing w:after="0" w:line="240" w:lineRule="auto"/>
              <w:jc w:val="center"/>
              <w:rPr>
                <w:rFonts w:ascii="Calibri" w:hAnsi="Calibri" w:cs="Arial"/>
              </w:rPr>
            </w:pPr>
            <w:r w:rsidRPr="003E7DC5">
              <w:rPr>
                <w:rFonts w:ascii="Calibri" w:hAnsi="Calibri" w:cs="Arial"/>
              </w:rPr>
              <w:t>5</w:t>
            </w:r>
          </w:p>
        </w:tc>
      </w:tr>
      <w:tr w:rsidR="003E7DC5" w:rsidRPr="003E7DC5" w:rsidTr="00767F88">
        <w:tc>
          <w:tcPr>
            <w:tcW w:w="5103" w:type="dxa"/>
          </w:tcPr>
          <w:p w:rsidR="003E7DC5" w:rsidRPr="003E7DC5" w:rsidRDefault="003E7DC5" w:rsidP="003E7DC5">
            <w:pPr>
              <w:spacing w:after="0" w:line="240" w:lineRule="auto"/>
              <w:jc w:val="both"/>
              <w:rPr>
                <w:rFonts w:ascii="Calibri" w:hAnsi="Calibri" w:cs="Arial"/>
              </w:rPr>
            </w:pPr>
            <w:r w:rsidRPr="003E7DC5">
              <w:rPr>
                <w:rFonts w:ascii="Calibri" w:hAnsi="Calibri" w:cs="Arial"/>
              </w:rPr>
              <w:t xml:space="preserve">English language </w:t>
            </w:r>
          </w:p>
        </w:tc>
        <w:tc>
          <w:tcPr>
            <w:tcW w:w="3969" w:type="dxa"/>
          </w:tcPr>
          <w:p w:rsidR="003E7DC5" w:rsidRPr="003E7DC5" w:rsidRDefault="003B5782" w:rsidP="003E7DC5">
            <w:pPr>
              <w:spacing w:after="0" w:line="240" w:lineRule="auto"/>
              <w:jc w:val="center"/>
              <w:rPr>
                <w:rFonts w:ascii="Calibri" w:hAnsi="Calibri" w:cs="Arial"/>
              </w:rPr>
            </w:pPr>
            <w:r>
              <w:rPr>
                <w:rFonts w:ascii="Calibri" w:hAnsi="Calibri" w:cs="Arial"/>
              </w:rPr>
              <w:t>15</w:t>
            </w:r>
          </w:p>
        </w:tc>
      </w:tr>
    </w:tbl>
    <w:p w:rsidR="006C0A64" w:rsidRDefault="006C0A64" w:rsidP="00573882">
      <w:pPr>
        <w:spacing w:after="0" w:line="240" w:lineRule="auto"/>
        <w:jc w:val="both"/>
        <w:rPr>
          <w:rFonts w:ascii="Calibri" w:hAnsi="Calibri" w:cs="Arial"/>
        </w:rPr>
      </w:pPr>
    </w:p>
    <w:p w:rsidR="00401965" w:rsidRPr="00401965" w:rsidRDefault="00401965" w:rsidP="00401965">
      <w:pPr>
        <w:spacing w:after="0" w:line="240" w:lineRule="auto"/>
        <w:ind w:left="709"/>
        <w:jc w:val="both"/>
        <w:rPr>
          <w:b/>
        </w:rPr>
      </w:pPr>
      <w:r w:rsidRPr="00401965">
        <w:rPr>
          <w:rFonts w:ascii="Calibri" w:hAnsi="Calibri" w:cs="Arial"/>
          <w:b/>
        </w:rPr>
        <w:t>Figure 8.  Guideline to Class Size – Standard Delivery Model.</w:t>
      </w:r>
    </w:p>
    <w:p w:rsidR="00401965" w:rsidRDefault="00401965" w:rsidP="00573882">
      <w:pPr>
        <w:spacing w:after="0" w:line="240" w:lineRule="auto"/>
        <w:jc w:val="both"/>
        <w:rPr>
          <w:rFonts w:ascii="Calibri" w:hAnsi="Calibri" w:cs="Arial"/>
        </w:rPr>
      </w:pPr>
    </w:p>
    <w:p w:rsidR="00C81964" w:rsidRPr="00401965" w:rsidRDefault="00C81964" w:rsidP="00C35B5F">
      <w:pPr>
        <w:pStyle w:val="ListParagraph"/>
        <w:numPr>
          <w:ilvl w:val="1"/>
          <w:numId w:val="42"/>
        </w:numPr>
        <w:ind w:left="709" w:hanging="709"/>
        <w:jc w:val="both"/>
        <w:rPr>
          <w:rFonts w:ascii="Calibri" w:hAnsi="Calibri" w:cs="Arial"/>
          <w:b/>
          <w:bCs/>
          <w:sz w:val="22"/>
          <w:szCs w:val="22"/>
        </w:rPr>
      </w:pPr>
      <w:r w:rsidRPr="00401965">
        <w:rPr>
          <w:rFonts w:ascii="Calibri" w:hAnsi="Calibri" w:cs="Arial"/>
          <w:b/>
          <w:bCs/>
          <w:sz w:val="22"/>
          <w:szCs w:val="22"/>
        </w:rPr>
        <w:t>Study Rates</w:t>
      </w:r>
    </w:p>
    <w:p w:rsidR="00C81964" w:rsidRPr="00C81964" w:rsidRDefault="00C81964" w:rsidP="00C81964">
      <w:pPr>
        <w:spacing w:after="0" w:line="240" w:lineRule="auto"/>
        <w:jc w:val="both"/>
        <w:rPr>
          <w:rFonts w:ascii="Calibri" w:eastAsia="Times New Roman" w:hAnsi="Calibri" w:cs="Arial"/>
          <w:lang w:val="en-AU" w:eastAsia="en-AU"/>
        </w:rPr>
      </w:pPr>
    </w:p>
    <w:p w:rsidR="00C81964" w:rsidRPr="00C81964" w:rsidRDefault="00401965" w:rsidP="00401965">
      <w:pPr>
        <w:spacing w:after="0" w:line="240" w:lineRule="auto"/>
        <w:ind w:left="709" w:hanging="709"/>
        <w:jc w:val="both"/>
        <w:rPr>
          <w:rFonts w:ascii="Calibri" w:eastAsia="Times New Roman" w:hAnsi="Calibri" w:cs="Arial"/>
          <w:lang w:val="en-AU" w:eastAsia="en-AU"/>
        </w:rPr>
      </w:pPr>
      <w:r>
        <w:rPr>
          <w:rFonts w:ascii="Calibri" w:eastAsia="Times New Roman" w:hAnsi="Calibri" w:cs="Arial"/>
          <w:lang w:val="en-AU" w:eastAsia="en-AU"/>
        </w:rPr>
        <w:t>8.3.1</w:t>
      </w:r>
      <w:r>
        <w:rPr>
          <w:rFonts w:ascii="Calibri" w:eastAsia="Times New Roman" w:hAnsi="Calibri" w:cs="Arial"/>
          <w:lang w:val="en-AU" w:eastAsia="en-AU"/>
        </w:rPr>
        <w:tab/>
      </w:r>
      <w:r w:rsidR="00C81964">
        <w:rPr>
          <w:rFonts w:ascii="Calibri" w:eastAsia="Times New Roman" w:hAnsi="Calibri" w:cs="Arial"/>
          <w:lang w:val="en-AU" w:eastAsia="en-AU"/>
        </w:rPr>
        <w:t xml:space="preserve">Navitas Colleges offer only full-time study.  </w:t>
      </w:r>
      <w:r w:rsidR="00C81964" w:rsidRPr="00C81964">
        <w:rPr>
          <w:rFonts w:ascii="Calibri" w:eastAsia="Times New Roman" w:hAnsi="Calibri" w:cs="Arial"/>
          <w:lang w:val="en-AU" w:eastAsia="en-AU"/>
        </w:rPr>
        <w:t xml:space="preserve">The normal minimum study rate </w:t>
      </w:r>
      <w:r w:rsidR="00C81964">
        <w:rPr>
          <w:rFonts w:ascii="Calibri" w:eastAsia="Times New Roman" w:hAnsi="Calibri" w:cs="Arial"/>
          <w:lang w:val="en-AU" w:eastAsia="en-AU"/>
        </w:rPr>
        <w:t>is</w:t>
      </w:r>
      <w:r w:rsidR="00C81964" w:rsidRPr="00C81964">
        <w:rPr>
          <w:rFonts w:ascii="Calibri" w:eastAsia="Times New Roman" w:hAnsi="Calibri" w:cs="Arial"/>
          <w:lang w:val="en-AU" w:eastAsia="en-AU"/>
        </w:rPr>
        <w:t xml:space="preserve"> 1</w:t>
      </w:r>
      <w:r w:rsidR="002A4A50">
        <w:rPr>
          <w:rFonts w:ascii="Calibri" w:eastAsia="Times New Roman" w:hAnsi="Calibri" w:cs="Arial"/>
          <w:lang w:val="en-AU" w:eastAsia="en-AU"/>
        </w:rPr>
        <w:t>5</w:t>
      </w:r>
      <w:r w:rsidR="00C81964" w:rsidRPr="00C81964">
        <w:rPr>
          <w:rFonts w:ascii="Calibri" w:eastAsia="Times New Roman" w:hAnsi="Calibri" w:cs="Arial"/>
          <w:lang w:val="en-AU" w:eastAsia="en-AU"/>
        </w:rPr>
        <w:t xml:space="preserve"> timetabled contact hours per week </w:t>
      </w:r>
      <w:r w:rsidR="00C81964">
        <w:rPr>
          <w:rFonts w:ascii="Calibri" w:eastAsia="Times New Roman" w:hAnsi="Calibri" w:cs="Arial"/>
          <w:lang w:val="en-AU" w:eastAsia="en-AU"/>
        </w:rPr>
        <w:t>over a</w:t>
      </w:r>
      <w:r w:rsidR="00C81964" w:rsidRPr="00C81964">
        <w:rPr>
          <w:rFonts w:ascii="Calibri" w:eastAsia="Times New Roman" w:hAnsi="Calibri" w:cs="Arial"/>
          <w:lang w:val="en-AU" w:eastAsia="en-AU"/>
        </w:rPr>
        <w:t xml:space="preserve"> semester</w:t>
      </w:r>
      <w:r w:rsidR="00C81964">
        <w:rPr>
          <w:rFonts w:ascii="Calibri" w:eastAsia="Times New Roman" w:hAnsi="Calibri" w:cs="Arial"/>
          <w:lang w:val="en-AU" w:eastAsia="en-AU"/>
        </w:rPr>
        <w:t xml:space="preserve"> covering modules with a minimum credit</w:t>
      </w:r>
      <w:r w:rsidR="00C81964" w:rsidRPr="00C81964">
        <w:rPr>
          <w:rFonts w:ascii="Calibri" w:eastAsia="Times New Roman" w:hAnsi="Calibri" w:cs="Arial"/>
          <w:lang w:val="en-AU" w:eastAsia="en-AU"/>
        </w:rPr>
        <w:t xml:space="preserve"> value of 60 per semester. Timetabling must be designated between 09</w:t>
      </w:r>
      <w:r w:rsidR="00C81964">
        <w:rPr>
          <w:rFonts w:ascii="Calibri" w:eastAsia="Times New Roman" w:hAnsi="Calibri" w:cs="Arial"/>
          <w:lang w:val="en-AU" w:eastAsia="en-AU"/>
        </w:rPr>
        <w:t xml:space="preserve">:00 and 18:00 Monday to Friday (until </w:t>
      </w:r>
      <w:r w:rsidR="00C81964" w:rsidRPr="00C81964">
        <w:rPr>
          <w:rFonts w:ascii="Calibri" w:eastAsia="Times New Roman" w:hAnsi="Calibri" w:cs="Arial"/>
          <w:lang w:val="en-AU" w:eastAsia="en-AU"/>
        </w:rPr>
        <w:t>20:00 during summer months</w:t>
      </w:r>
      <w:r w:rsidR="00C81964">
        <w:rPr>
          <w:rFonts w:ascii="Calibri" w:eastAsia="Times New Roman" w:hAnsi="Calibri" w:cs="Arial"/>
          <w:lang w:val="en-AU" w:eastAsia="en-AU"/>
        </w:rPr>
        <w:t>)</w:t>
      </w:r>
      <w:r w:rsidR="00C81964" w:rsidRPr="00C81964">
        <w:rPr>
          <w:rFonts w:ascii="Calibri" w:eastAsia="Times New Roman" w:hAnsi="Calibri" w:cs="Arial"/>
          <w:lang w:val="en-AU" w:eastAsia="en-AU"/>
        </w:rPr>
        <w:t>. Certain classes may be scheduled on Saturday a</w:t>
      </w:r>
      <w:r w:rsidR="00C81964">
        <w:rPr>
          <w:rFonts w:ascii="Calibri" w:eastAsia="Times New Roman" w:hAnsi="Calibri" w:cs="Arial"/>
          <w:lang w:val="en-AU" w:eastAsia="en-AU"/>
        </w:rPr>
        <w:t>s permitted by the P</w:t>
      </w:r>
      <w:r w:rsidR="00C81964" w:rsidRPr="00C81964">
        <w:rPr>
          <w:rFonts w:ascii="Calibri" w:eastAsia="Times New Roman" w:hAnsi="Calibri" w:cs="Arial"/>
          <w:lang w:val="en-AU" w:eastAsia="en-AU"/>
        </w:rPr>
        <w:t xml:space="preserve">artner University for students under branch CAS. </w:t>
      </w:r>
    </w:p>
    <w:p w:rsidR="00C81964" w:rsidRPr="00270608" w:rsidRDefault="00C81964" w:rsidP="00C81964">
      <w:pPr>
        <w:spacing w:after="0" w:line="240" w:lineRule="auto"/>
        <w:ind w:left="720"/>
        <w:jc w:val="both"/>
        <w:rPr>
          <w:rFonts w:ascii="Calibri" w:eastAsia="Times New Roman" w:hAnsi="Calibri" w:cs="Arial"/>
          <w:sz w:val="20"/>
          <w:szCs w:val="20"/>
          <w:lang w:val="en-AU" w:eastAsia="en-AU"/>
        </w:rPr>
      </w:pPr>
    </w:p>
    <w:p w:rsidR="00C81964" w:rsidRPr="00C81964" w:rsidRDefault="00401965" w:rsidP="00401965">
      <w:pPr>
        <w:pStyle w:val="ListParagraph"/>
        <w:ind w:hanging="720"/>
        <w:jc w:val="both"/>
        <w:rPr>
          <w:rFonts w:ascii="Calibri" w:hAnsi="Calibri" w:cs="Arial"/>
          <w:sz w:val="22"/>
          <w:szCs w:val="22"/>
        </w:rPr>
      </w:pPr>
      <w:r>
        <w:rPr>
          <w:rFonts w:ascii="Calibri" w:hAnsi="Calibri" w:cs="Arial"/>
          <w:sz w:val="22"/>
          <w:szCs w:val="22"/>
        </w:rPr>
        <w:t>8.3.2</w:t>
      </w:r>
      <w:r>
        <w:rPr>
          <w:rFonts w:ascii="Calibri" w:hAnsi="Calibri" w:cs="Arial"/>
          <w:sz w:val="22"/>
          <w:szCs w:val="22"/>
        </w:rPr>
        <w:tab/>
      </w:r>
      <w:r w:rsidR="00C81964" w:rsidRPr="00C81964">
        <w:rPr>
          <w:rFonts w:ascii="Calibri" w:hAnsi="Calibri" w:cs="Arial"/>
          <w:sz w:val="22"/>
          <w:szCs w:val="22"/>
        </w:rPr>
        <w:t xml:space="preserve">Individual students completing a stage of study, may carry a lower than normal minimum study rate over the period of one semester only, with the express approval of the Learning and Teaching Board, and with the objective of making good previous failure. </w:t>
      </w:r>
    </w:p>
    <w:p w:rsidR="00C81964" w:rsidRPr="00C81964" w:rsidRDefault="00C81964" w:rsidP="00C81964">
      <w:pPr>
        <w:spacing w:after="0" w:line="240" w:lineRule="auto"/>
        <w:ind w:left="720"/>
        <w:jc w:val="both"/>
        <w:rPr>
          <w:rFonts w:ascii="Calibri" w:eastAsia="Times New Roman" w:hAnsi="Calibri" w:cs="Arial"/>
          <w:lang w:val="en-AU" w:eastAsia="en-AU"/>
        </w:rPr>
      </w:pPr>
    </w:p>
    <w:p w:rsidR="00C81964" w:rsidRPr="00C81964" w:rsidRDefault="00401965" w:rsidP="00401965">
      <w:pPr>
        <w:spacing w:after="0" w:line="240" w:lineRule="auto"/>
        <w:ind w:left="709" w:hanging="709"/>
        <w:jc w:val="both"/>
        <w:rPr>
          <w:rFonts w:ascii="Calibri" w:eastAsia="Times New Roman" w:hAnsi="Calibri" w:cs="Arial"/>
          <w:lang w:val="en-AU" w:eastAsia="en-AU"/>
        </w:rPr>
      </w:pPr>
      <w:r>
        <w:rPr>
          <w:rFonts w:ascii="Calibri" w:eastAsia="Times New Roman" w:hAnsi="Calibri" w:cs="Arial"/>
          <w:lang w:val="en-AU" w:eastAsia="en-AU"/>
        </w:rPr>
        <w:t>8.3.3</w:t>
      </w:r>
      <w:r>
        <w:rPr>
          <w:rFonts w:ascii="Calibri" w:eastAsia="Times New Roman" w:hAnsi="Calibri" w:cs="Arial"/>
          <w:lang w:val="en-AU" w:eastAsia="en-AU"/>
        </w:rPr>
        <w:tab/>
      </w:r>
      <w:r w:rsidR="00C81964" w:rsidRPr="00C81964">
        <w:rPr>
          <w:rFonts w:ascii="Calibri" w:eastAsia="Times New Roman" w:hAnsi="Calibri" w:cs="Arial"/>
          <w:lang w:val="en-AU" w:eastAsia="en-AU"/>
        </w:rPr>
        <w:t xml:space="preserve">The maximum study rate of a course is considered to be 25 timetabled contact hours per week per 10 week semester with an associated value of no more than 80 credit points. </w:t>
      </w:r>
    </w:p>
    <w:p w:rsidR="00C81964" w:rsidRPr="00C81964" w:rsidRDefault="00C81964" w:rsidP="00C81964">
      <w:pPr>
        <w:spacing w:after="0" w:line="240" w:lineRule="auto"/>
        <w:ind w:left="720"/>
        <w:jc w:val="both"/>
        <w:rPr>
          <w:rFonts w:ascii="Calibri" w:eastAsia="Times New Roman" w:hAnsi="Calibri" w:cs="Arial"/>
          <w:lang w:val="en-AU" w:eastAsia="en-AU"/>
        </w:rPr>
      </w:pPr>
    </w:p>
    <w:p w:rsidR="00C81964" w:rsidRPr="00C81964" w:rsidRDefault="00401965" w:rsidP="00401965">
      <w:pPr>
        <w:spacing w:after="0" w:line="240" w:lineRule="auto"/>
        <w:ind w:left="709" w:hanging="709"/>
        <w:jc w:val="both"/>
        <w:rPr>
          <w:rFonts w:ascii="Calibri" w:eastAsia="Times New Roman" w:hAnsi="Calibri" w:cs="Arial"/>
          <w:lang w:val="en-AU" w:eastAsia="en-AU"/>
        </w:rPr>
      </w:pPr>
      <w:r>
        <w:rPr>
          <w:rFonts w:ascii="Calibri" w:eastAsia="Times New Roman" w:hAnsi="Calibri" w:cs="Arial"/>
          <w:lang w:val="en-AU" w:eastAsia="en-AU"/>
        </w:rPr>
        <w:t>8.3.4</w:t>
      </w:r>
      <w:r>
        <w:rPr>
          <w:rFonts w:ascii="Calibri" w:eastAsia="Times New Roman" w:hAnsi="Calibri" w:cs="Arial"/>
          <w:lang w:val="en-AU" w:eastAsia="en-AU"/>
        </w:rPr>
        <w:tab/>
      </w:r>
      <w:r w:rsidR="00C81964" w:rsidRPr="00C81964">
        <w:rPr>
          <w:rFonts w:ascii="Calibri" w:eastAsia="Times New Roman" w:hAnsi="Calibri" w:cs="Arial"/>
          <w:lang w:val="en-AU" w:eastAsia="en-AU"/>
        </w:rPr>
        <w:t>Individual students on stages consisting of two semesters may increase their study rate from a minimum rate to a maximum of 80 credit points over one semester with the express approval of the Learning and Teaching Board, and normally with the objective of making good previous failure.</w:t>
      </w:r>
    </w:p>
    <w:p w:rsidR="00C81964" w:rsidRPr="00C81964" w:rsidRDefault="00C81964" w:rsidP="00C81964">
      <w:pPr>
        <w:spacing w:after="0" w:line="240" w:lineRule="auto"/>
        <w:ind w:left="720"/>
        <w:contextualSpacing/>
        <w:rPr>
          <w:rFonts w:ascii="Calibri" w:eastAsia="Times New Roman" w:hAnsi="Calibri" w:cs="Arial"/>
          <w:lang w:val="en-AU" w:eastAsia="en-AU"/>
        </w:rPr>
      </w:pPr>
    </w:p>
    <w:p w:rsidR="00C81964" w:rsidRDefault="00C81964" w:rsidP="00573882">
      <w:pPr>
        <w:spacing w:after="0" w:line="240" w:lineRule="auto"/>
        <w:jc w:val="both"/>
        <w:rPr>
          <w:rFonts w:ascii="Calibri" w:hAnsi="Calibri" w:cs="Arial"/>
        </w:rPr>
      </w:pPr>
    </w:p>
    <w:p w:rsidR="00C81964" w:rsidRPr="00492D7E" w:rsidRDefault="00C81964" w:rsidP="00573882">
      <w:pPr>
        <w:spacing w:after="0" w:line="240" w:lineRule="auto"/>
        <w:jc w:val="both"/>
        <w:rPr>
          <w:rFonts w:ascii="Calibri" w:hAnsi="Calibri" w:cs="Arial"/>
        </w:rPr>
      </w:pPr>
    </w:p>
    <w:p w:rsidR="00574ACE" w:rsidRPr="00F47B91" w:rsidRDefault="006D2210" w:rsidP="00F47B91">
      <w:pPr>
        <w:spacing w:after="0" w:line="240" w:lineRule="auto"/>
        <w:jc w:val="both"/>
        <w:rPr>
          <w:b/>
        </w:rPr>
      </w:pPr>
      <w:r>
        <w:rPr>
          <w:b/>
        </w:rPr>
        <w:t>9</w:t>
      </w:r>
      <w:r w:rsidR="00EF1172">
        <w:rPr>
          <w:b/>
        </w:rPr>
        <w:tab/>
      </w:r>
      <w:r w:rsidR="00F47B91" w:rsidRPr="00F47B91">
        <w:rPr>
          <w:b/>
        </w:rPr>
        <w:t xml:space="preserve">Programme </w:t>
      </w:r>
      <w:r w:rsidR="00270608">
        <w:rPr>
          <w:b/>
        </w:rPr>
        <w:t>Design</w:t>
      </w:r>
    </w:p>
    <w:p w:rsidR="00F47B91" w:rsidRDefault="00F47B91" w:rsidP="00F47B91">
      <w:pPr>
        <w:spacing w:after="0" w:line="240" w:lineRule="auto"/>
        <w:jc w:val="both"/>
      </w:pPr>
    </w:p>
    <w:p w:rsidR="00B2420F" w:rsidRPr="006D2210" w:rsidRDefault="006D2210" w:rsidP="00B2420F">
      <w:pPr>
        <w:spacing w:after="0" w:line="240" w:lineRule="auto"/>
        <w:contextualSpacing/>
        <w:jc w:val="both"/>
        <w:rPr>
          <w:rFonts w:eastAsia="Times New Roman" w:cs="Arial"/>
          <w:b/>
          <w:lang w:val="en-AU" w:eastAsia="en-AU"/>
        </w:rPr>
      </w:pPr>
      <w:r w:rsidRPr="006D2210">
        <w:rPr>
          <w:b/>
        </w:rPr>
        <w:t>9</w:t>
      </w:r>
      <w:r w:rsidR="00767F88" w:rsidRPr="006D2210">
        <w:rPr>
          <w:b/>
        </w:rPr>
        <w:t>.1</w:t>
      </w:r>
      <w:r w:rsidR="00F47B91" w:rsidRPr="006D2210">
        <w:rPr>
          <w:b/>
        </w:rPr>
        <w:t xml:space="preserve"> </w:t>
      </w:r>
      <w:r w:rsidR="00F47B91" w:rsidRPr="006D2210">
        <w:rPr>
          <w:b/>
        </w:rPr>
        <w:tab/>
      </w:r>
      <w:r w:rsidR="00C35B5F">
        <w:rPr>
          <w:rFonts w:eastAsia="Times New Roman" w:cs="Arial"/>
          <w:b/>
          <w:bCs/>
          <w:lang w:val="en-AU" w:eastAsia="en-AU"/>
        </w:rPr>
        <w:t>Programme Specifications</w:t>
      </w:r>
    </w:p>
    <w:p w:rsidR="006D2210" w:rsidRDefault="006D2210" w:rsidP="00B2420F">
      <w:pPr>
        <w:spacing w:after="0" w:line="240" w:lineRule="auto"/>
        <w:ind w:left="720" w:hanging="720"/>
        <w:jc w:val="both"/>
        <w:rPr>
          <w:rFonts w:eastAsia="Times New Roman" w:cs="Arial"/>
          <w:lang w:val="en-AU" w:eastAsia="en-AU"/>
        </w:rPr>
      </w:pPr>
    </w:p>
    <w:p w:rsidR="00B2420F" w:rsidRDefault="00401965" w:rsidP="00401965">
      <w:pPr>
        <w:spacing w:after="0" w:line="240" w:lineRule="auto"/>
        <w:ind w:left="720" w:hanging="720"/>
        <w:jc w:val="both"/>
        <w:rPr>
          <w:rFonts w:eastAsia="Times New Roman" w:cs="Arial"/>
          <w:lang w:val="en-AU" w:eastAsia="en-AU"/>
        </w:rPr>
      </w:pPr>
      <w:r>
        <w:rPr>
          <w:rFonts w:eastAsia="Times New Roman" w:cs="Arial"/>
          <w:lang w:val="en-AU" w:eastAsia="en-AU"/>
        </w:rPr>
        <w:t>9.1.1</w:t>
      </w:r>
      <w:r>
        <w:rPr>
          <w:rFonts w:eastAsia="Times New Roman" w:cs="Arial"/>
          <w:lang w:val="en-AU" w:eastAsia="en-AU"/>
        </w:rPr>
        <w:tab/>
      </w:r>
      <w:r w:rsidR="00B2420F" w:rsidRPr="00100AF3">
        <w:rPr>
          <w:rFonts w:eastAsia="Times New Roman" w:cs="Arial"/>
          <w:lang w:val="en-AU" w:eastAsia="en-AU"/>
        </w:rPr>
        <w:t xml:space="preserve">Each stage of a pathway delivered at </w:t>
      </w:r>
      <w:r w:rsidR="00B2420F">
        <w:rPr>
          <w:rFonts w:eastAsia="Times New Roman" w:cs="Arial"/>
          <w:lang w:val="en-AU" w:eastAsia="en-AU"/>
        </w:rPr>
        <w:t>a</w:t>
      </w:r>
      <w:r w:rsidR="00B2420F" w:rsidRPr="00100AF3">
        <w:rPr>
          <w:rFonts w:eastAsia="Times New Roman" w:cs="Arial"/>
          <w:lang w:val="en-AU" w:eastAsia="en-AU"/>
        </w:rPr>
        <w:t xml:space="preserve"> College will have a corresponding Programme Specification. This document</w:t>
      </w:r>
      <w:r w:rsidR="00B2420F">
        <w:rPr>
          <w:rFonts w:eastAsia="Times New Roman" w:cs="Arial"/>
          <w:lang w:val="en-AU" w:eastAsia="en-AU"/>
        </w:rPr>
        <w:t xml:space="preserve"> will contain a set of aims which </w:t>
      </w:r>
      <w:r w:rsidR="00B2420F" w:rsidRPr="00100AF3">
        <w:rPr>
          <w:rFonts w:eastAsia="Times New Roman" w:cs="Arial"/>
          <w:lang w:val="en-AU" w:eastAsia="en-AU"/>
        </w:rPr>
        <w:t xml:space="preserve">will include an articulation of the General Educational Aims as they </w:t>
      </w:r>
      <w:r w:rsidR="00B2420F" w:rsidRPr="00100AF3">
        <w:rPr>
          <w:rFonts w:eastAsia="Times New Roman" w:cs="Arial"/>
          <w:lang w:val="en-AU" w:eastAsia="en-AU"/>
        </w:rPr>
        <w:lastRenderedPageBreak/>
        <w:t>apply to a specific pathway or stage of study, together with additional aims that reflect the philosophy and purpose of a pathway.</w:t>
      </w:r>
    </w:p>
    <w:p w:rsidR="00BF1551" w:rsidRDefault="00401965" w:rsidP="00401965">
      <w:pPr>
        <w:spacing w:after="0" w:line="240" w:lineRule="auto"/>
        <w:ind w:left="720" w:hanging="720"/>
        <w:jc w:val="both"/>
        <w:rPr>
          <w:rFonts w:eastAsia="Times New Roman" w:cs="Arial"/>
          <w:lang w:val="en-AU" w:eastAsia="en-AU"/>
        </w:rPr>
      </w:pPr>
      <w:r>
        <w:rPr>
          <w:rFonts w:eastAsia="Times New Roman" w:cs="Arial"/>
          <w:lang w:val="en-AU" w:eastAsia="en-AU"/>
        </w:rPr>
        <w:t>9.1.2</w:t>
      </w:r>
      <w:r>
        <w:rPr>
          <w:rFonts w:eastAsia="Times New Roman" w:cs="Arial"/>
          <w:lang w:val="en-AU" w:eastAsia="en-AU"/>
        </w:rPr>
        <w:tab/>
      </w:r>
      <w:r w:rsidR="00BF1551">
        <w:rPr>
          <w:rFonts w:eastAsia="Times New Roman" w:cs="Arial"/>
          <w:lang w:val="en-AU" w:eastAsia="en-AU"/>
        </w:rPr>
        <w:t>The programme specification will identify the programme learning outcomes, which are set so as to achieve the programme aims.</w:t>
      </w:r>
    </w:p>
    <w:p w:rsidR="00BF1551" w:rsidRDefault="00401965" w:rsidP="00401965">
      <w:pPr>
        <w:spacing w:after="0" w:line="240" w:lineRule="auto"/>
        <w:ind w:left="720" w:hanging="720"/>
        <w:jc w:val="both"/>
        <w:rPr>
          <w:rFonts w:eastAsia="Times New Roman" w:cs="Arial"/>
          <w:lang w:val="en-AU" w:eastAsia="en-AU"/>
        </w:rPr>
      </w:pPr>
      <w:r>
        <w:rPr>
          <w:rFonts w:eastAsia="Times New Roman" w:cs="Arial"/>
          <w:lang w:val="en-AU" w:eastAsia="en-AU"/>
        </w:rPr>
        <w:t>9.1.3</w:t>
      </w:r>
      <w:r>
        <w:rPr>
          <w:rFonts w:eastAsia="Times New Roman" w:cs="Arial"/>
          <w:lang w:val="en-AU" w:eastAsia="en-AU"/>
        </w:rPr>
        <w:tab/>
      </w:r>
      <w:r w:rsidR="00BF1551">
        <w:rPr>
          <w:rFonts w:eastAsia="Times New Roman" w:cs="Arial"/>
          <w:lang w:val="en-AU" w:eastAsia="en-AU"/>
        </w:rPr>
        <w:t xml:space="preserve">The </w:t>
      </w:r>
      <w:r w:rsidR="00E46B8C">
        <w:rPr>
          <w:rFonts w:eastAsia="Times New Roman" w:cs="Arial"/>
          <w:lang w:val="en-AU" w:eastAsia="en-AU"/>
        </w:rPr>
        <w:t>Navitas template for Programme S</w:t>
      </w:r>
      <w:r w:rsidR="00BF1551">
        <w:rPr>
          <w:rFonts w:eastAsia="Times New Roman" w:cs="Arial"/>
          <w:lang w:val="en-AU" w:eastAsia="en-AU"/>
        </w:rPr>
        <w:t>peci</w:t>
      </w:r>
      <w:r w:rsidR="00E46B8C">
        <w:rPr>
          <w:rFonts w:eastAsia="Times New Roman" w:cs="Arial"/>
          <w:lang w:val="en-AU" w:eastAsia="en-AU"/>
        </w:rPr>
        <w:t>fications is provided as Form 2</w:t>
      </w:r>
    </w:p>
    <w:p w:rsidR="00BF1551" w:rsidRPr="00100AF3" w:rsidRDefault="00BF1551" w:rsidP="00BF1551">
      <w:pPr>
        <w:spacing w:after="0" w:line="240" w:lineRule="auto"/>
        <w:ind w:left="720"/>
        <w:jc w:val="both"/>
        <w:rPr>
          <w:rFonts w:eastAsia="Times New Roman" w:cs="Arial"/>
          <w:lang w:val="en-AU" w:eastAsia="en-AU"/>
        </w:rPr>
      </w:pPr>
    </w:p>
    <w:p w:rsidR="00BF1551" w:rsidRPr="00BF1551" w:rsidRDefault="00BF1551" w:rsidP="00BF1551">
      <w:pPr>
        <w:spacing w:after="0" w:line="240" w:lineRule="auto"/>
        <w:ind w:left="709" w:hanging="709"/>
        <w:jc w:val="both"/>
        <w:rPr>
          <w:rFonts w:eastAsia="Times New Roman" w:cs="Arial"/>
          <w:b/>
          <w:lang w:val="en-AU" w:eastAsia="en-AU"/>
        </w:rPr>
      </w:pPr>
      <w:r w:rsidRPr="00BF1551">
        <w:rPr>
          <w:rFonts w:eastAsia="Times New Roman" w:cs="Arial"/>
          <w:b/>
          <w:lang w:val="en-AU" w:eastAsia="en-AU"/>
        </w:rPr>
        <w:t>9.2</w:t>
      </w:r>
      <w:r w:rsidRPr="00BF1551">
        <w:rPr>
          <w:rFonts w:eastAsia="Times New Roman" w:cs="Arial"/>
          <w:b/>
          <w:lang w:val="en-AU" w:eastAsia="en-AU"/>
        </w:rPr>
        <w:tab/>
        <w:t>Pathway Aims</w:t>
      </w:r>
    </w:p>
    <w:p w:rsidR="00BF1551" w:rsidRDefault="00BF1551" w:rsidP="00BF1551">
      <w:pPr>
        <w:spacing w:after="0" w:line="240" w:lineRule="auto"/>
        <w:ind w:left="709" w:hanging="709"/>
        <w:jc w:val="both"/>
        <w:rPr>
          <w:rFonts w:eastAsia="Times New Roman" w:cs="Arial"/>
          <w:lang w:val="en-AU" w:eastAsia="en-AU"/>
        </w:rPr>
      </w:pPr>
    </w:p>
    <w:p w:rsidR="00B2420F" w:rsidRPr="00100AF3" w:rsidRDefault="00E46B8C" w:rsidP="00E46B8C">
      <w:pPr>
        <w:spacing w:after="0" w:line="240" w:lineRule="auto"/>
        <w:ind w:left="709" w:hanging="709"/>
        <w:jc w:val="both"/>
        <w:rPr>
          <w:rFonts w:eastAsia="Times New Roman" w:cs="Arial"/>
          <w:lang w:val="en-AU" w:eastAsia="en-AU"/>
        </w:rPr>
      </w:pPr>
      <w:r>
        <w:rPr>
          <w:rFonts w:eastAsia="Times New Roman" w:cs="Arial"/>
          <w:lang w:val="en-AU" w:eastAsia="en-AU"/>
        </w:rPr>
        <w:t>9.2.1</w:t>
      </w:r>
      <w:r>
        <w:rPr>
          <w:rFonts w:eastAsia="Times New Roman" w:cs="Arial"/>
          <w:lang w:val="en-AU" w:eastAsia="en-AU"/>
        </w:rPr>
        <w:tab/>
      </w:r>
      <w:r w:rsidR="00B2420F">
        <w:rPr>
          <w:rFonts w:eastAsia="Times New Roman" w:cs="Arial"/>
          <w:lang w:val="en-AU" w:eastAsia="en-AU"/>
        </w:rPr>
        <w:t>Each</w:t>
      </w:r>
      <w:r w:rsidR="00B2420F" w:rsidRPr="00100AF3">
        <w:rPr>
          <w:rFonts w:eastAsia="Times New Roman" w:cs="Arial"/>
          <w:lang w:val="en-AU" w:eastAsia="en-AU"/>
        </w:rPr>
        <w:t xml:space="preserve"> College offers a variety of pathways in partnership with </w:t>
      </w:r>
      <w:r w:rsidR="00B2420F">
        <w:rPr>
          <w:rFonts w:eastAsia="Times New Roman" w:cs="Arial"/>
          <w:lang w:val="en-AU" w:eastAsia="en-AU"/>
        </w:rPr>
        <w:t>its Partner University</w:t>
      </w:r>
      <w:r w:rsidR="00B2420F" w:rsidRPr="00100AF3">
        <w:rPr>
          <w:rFonts w:eastAsia="Times New Roman" w:cs="Arial"/>
          <w:lang w:val="en-AU" w:eastAsia="en-AU"/>
        </w:rPr>
        <w:t xml:space="preserve"> each with a range of entry points to broaden access and participation of international students</w:t>
      </w:r>
      <w:r w:rsidR="000C4B5A">
        <w:rPr>
          <w:rFonts w:eastAsia="Times New Roman" w:cs="Arial"/>
          <w:lang w:val="en-AU" w:eastAsia="en-AU"/>
        </w:rPr>
        <w:t>:</w:t>
      </w:r>
      <w:r w:rsidR="00B2420F" w:rsidRPr="00100AF3">
        <w:rPr>
          <w:rFonts w:eastAsia="Times New Roman" w:cs="Arial"/>
          <w:lang w:val="en-AU" w:eastAsia="en-AU"/>
        </w:rPr>
        <w:t xml:space="preserve"> </w:t>
      </w:r>
      <w:r>
        <w:rPr>
          <w:rFonts w:eastAsia="Times New Roman" w:cs="Arial"/>
          <w:lang w:val="en-AU" w:eastAsia="en-AU"/>
        </w:rPr>
        <w:t xml:space="preserve"> </w:t>
      </w:r>
      <w:r w:rsidR="000C4B5A">
        <w:rPr>
          <w:rFonts w:eastAsia="Times New Roman" w:cs="Arial"/>
          <w:lang w:val="en-AU" w:eastAsia="en-AU"/>
        </w:rPr>
        <w:t>t</w:t>
      </w:r>
      <w:r w:rsidR="00B2420F" w:rsidRPr="00100AF3">
        <w:rPr>
          <w:rFonts w:eastAsia="Times New Roman" w:cs="Arial"/>
          <w:lang w:val="en-AU" w:eastAsia="en-AU"/>
        </w:rPr>
        <w:t xml:space="preserve">hus, when designing and developing pathways, </w:t>
      </w:r>
      <w:r>
        <w:rPr>
          <w:rFonts w:eastAsia="Times New Roman" w:cs="Arial"/>
          <w:lang w:val="en-AU" w:eastAsia="en-AU"/>
        </w:rPr>
        <w:t>a</w:t>
      </w:r>
      <w:r w:rsidR="00B2420F" w:rsidRPr="00100AF3">
        <w:rPr>
          <w:rFonts w:eastAsia="Times New Roman" w:cs="Arial"/>
          <w:lang w:val="en-AU" w:eastAsia="en-AU"/>
        </w:rPr>
        <w:t xml:space="preserve"> College will seek to interpret the General Educational Aims and those of the </w:t>
      </w:r>
      <w:r w:rsidR="00B2420F">
        <w:rPr>
          <w:rFonts w:eastAsia="Times New Roman" w:cs="Arial"/>
          <w:lang w:val="en-AU" w:eastAsia="en-AU"/>
        </w:rPr>
        <w:t>P</w:t>
      </w:r>
      <w:r w:rsidR="00B2420F" w:rsidRPr="00100AF3">
        <w:rPr>
          <w:rFonts w:eastAsia="Times New Roman" w:cs="Arial"/>
          <w:lang w:val="en-AU" w:eastAsia="en-AU"/>
        </w:rPr>
        <w:t xml:space="preserve">artner University </w:t>
      </w:r>
      <w:r w:rsidR="00B2420F">
        <w:rPr>
          <w:rFonts w:eastAsia="Times New Roman" w:cs="Arial"/>
          <w:lang w:val="en-AU" w:eastAsia="en-AU"/>
        </w:rPr>
        <w:t>for</w:t>
      </w:r>
      <w:r w:rsidR="00B2420F" w:rsidRPr="00100AF3">
        <w:rPr>
          <w:rFonts w:eastAsia="Times New Roman" w:cs="Arial"/>
          <w:lang w:val="en-AU" w:eastAsia="en-AU"/>
        </w:rPr>
        <w:t xml:space="preserve"> each stage of a pathway. </w:t>
      </w:r>
    </w:p>
    <w:p w:rsidR="00B2420F" w:rsidRDefault="00E46B8C" w:rsidP="000C4B5A">
      <w:pPr>
        <w:spacing w:after="0" w:line="240" w:lineRule="auto"/>
        <w:ind w:left="709" w:hanging="709"/>
        <w:jc w:val="both"/>
        <w:rPr>
          <w:rFonts w:eastAsia="Times New Roman" w:cs="Arial"/>
          <w:lang w:val="en-AU" w:eastAsia="en-AU"/>
        </w:rPr>
      </w:pPr>
      <w:r>
        <w:rPr>
          <w:rFonts w:eastAsia="Times New Roman" w:cs="Arial"/>
          <w:lang w:val="en-AU" w:eastAsia="en-AU"/>
        </w:rPr>
        <w:t>9.2.2</w:t>
      </w:r>
      <w:r>
        <w:rPr>
          <w:rFonts w:eastAsia="Times New Roman" w:cs="Arial"/>
          <w:lang w:val="en-AU" w:eastAsia="en-AU"/>
        </w:rPr>
        <w:tab/>
      </w:r>
      <w:r w:rsidR="00B2420F" w:rsidRPr="00100AF3">
        <w:rPr>
          <w:rFonts w:eastAsia="Times New Roman" w:cs="Arial"/>
          <w:lang w:val="en-AU" w:eastAsia="en-AU"/>
        </w:rPr>
        <w:t>All pathways should endeavour to provide students with the opportunity to attain its aims. However, not all students are expected to achieve the same level of attainment.</w:t>
      </w:r>
      <w:r w:rsidR="000C4B5A">
        <w:rPr>
          <w:rFonts w:eastAsia="Times New Roman" w:cs="Arial"/>
          <w:lang w:val="en-AU" w:eastAsia="en-AU"/>
        </w:rPr>
        <w:t xml:space="preserve"> </w:t>
      </w:r>
      <w:r w:rsidR="00B2420F" w:rsidRPr="00100AF3">
        <w:rPr>
          <w:rFonts w:eastAsia="Times New Roman" w:cs="Arial"/>
          <w:lang w:val="en-AU" w:eastAsia="en-AU"/>
        </w:rPr>
        <w:t>The aims of all College pathways should:</w:t>
      </w:r>
    </w:p>
    <w:p w:rsidR="000C4B5A" w:rsidRPr="00100AF3" w:rsidRDefault="000C4B5A" w:rsidP="000C4B5A">
      <w:pPr>
        <w:spacing w:after="0" w:line="240" w:lineRule="auto"/>
        <w:ind w:left="709" w:hanging="709"/>
        <w:jc w:val="both"/>
        <w:rPr>
          <w:rFonts w:eastAsia="Times New Roman" w:cs="Arial"/>
          <w:lang w:val="en-AU" w:eastAsia="en-AU"/>
        </w:rPr>
      </w:pPr>
    </w:p>
    <w:p w:rsidR="00B2420F" w:rsidRPr="00100AF3" w:rsidRDefault="00B2420F" w:rsidP="00E46B8C">
      <w:pPr>
        <w:numPr>
          <w:ilvl w:val="0"/>
          <w:numId w:val="47"/>
        </w:numPr>
        <w:spacing w:after="0" w:line="240" w:lineRule="auto"/>
        <w:ind w:left="1320" w:hanging="330"/>
        <w:contextualSpacing/>
        <w:jc w:val="both"/>
        <w:rPr>
          <w:rFonts w:eastAsia="Times New Roman" w:cs="Arial"/>
          <w:lang w:val="en-AU" w:eastAsia="en-AU"/>
        </w:rPr>
      </w:pPr>
      <w:r w:rsidRPr="00100AF3">
        <w:rPr>
          <w:rFonts w:eastAsia="Times New Roman" w:cs="Arial"/>
          <w:lang w:val="en-AU" w:eastAsia="en-AU"/>
        </w:rPr>
        <w:t>Prepare students, who would not normally be considered qualified, to an appropriate standard for entry into the partner University degree courses.</w:t>
      </w:r>
    </w:p>
    <w:p w:rsidR="00B2420F" w:rsidRPr="00100AF3" w:rsidRDefault="00B2420F" w:rsidP="00E46B8C">
      <w:pPr>
        <w:numPr>
          <w:ilvl w:val="0"/>
          <w:numId w:val="47"/>
        </w:numPr>
        <w:spacing w:after="0" w:line="240" w:lineRule="auto"/>
        <w:ind w:left="1320" w:hanging="330"/>
        <w:contextualSpacing/>
        <w:jc w:val="both"/>
        <w:rPr>
          <w:rFonts w:eastAsia="Times New Roman" w:cs="Arial"/>
          <w:lang w:val="en-AU" w:eastAsia="en-AU"/>
        </w:rPr>
      </w:pPr>
      <w:r w:rsidRPr="00100AF3">
        <w:rPr>
          <w:rFonts w:eastAsia="Times New Roman" w:cs="Arial"/>
          <w:lang w:val="en-AU" w:eastAsia="en-AU"/>
        </w:rPr>
        <w:t>Develop in students a fundamental knowledge and understanding of the basic principles underpinning a discipline of study in addition to benchmarking ICT, presentation and communication skills. This will include study and research methodologies and their application</w:t>
      </w:r>
      <w:r>
        <w:rPr>
          <w:rFonts w:eastAsia="Times New Roman" w:cs="Arial"/>
          <w:lang w:val="en-AU" w:eastAsia="en-AU"/>
        </w:rPr>
        <w:t>.</w:t>
      </w:r>
      <w:r w:rsidRPr="00100AF3">
        <w:rPr>
          <w:rFonts w:eastAsia="Times New Roman" w:cs="Arial"/>
          <w:lang w:val="en-AU" w:eastAsia="en-AU"/>
        </w:rPr>
        <w:t xml:space="preserve"> </w:t>
      </w:r>
    </w:p>
    <w:p w:rsidR="00B2420F" w:rsidRPr="00100AF3" w:rsidRDefault="00B2420F" w:rsidP="00E46B8C">
      <w:pPr>
        <w:numPr>
          <w:ilvl w:val="0"/>
          <w:numId w:val="47"/>
        </w:numPr>
        <w:spacing w:after="0" w:line="240" w:lineRule="auto"/>
        <w:ind w:left="1320" w:hanging="330"/>
        <w:jc w:val="both"/>
        <w:rPr>
          <w:rFonts w:eastAsia="Times New Roman" w:cs="Arial"/>
          <w:lang w:val="en-AU" w:eastAsia="en-AU"/>
        </w:rPr>
      </w:pPr>
      <w:r w:rsidRPr="00100AF3">
        <w:rPr>
          <w:rFonts w:eastAsia="Times New Roman" w:cs="Arial"/>
          <w:lang w:val="en-AU" w:eastAsia="en-AU"/>
        </w:rPr>
        <w:t>Develop in students an appreciation and desire to learn based on competent intellectual and practical skills that build to a set of transferable skills that will support them in all aspects of their onward academic studies/careers and support their decision making in an informed manner.</w:t>
      </w:r>
    </w:p>
    <w:p w:rsidR="00B2420F" w:rsidRPr="00100AF3" w:rsidRDefault="00B2420F" w:rsidP="00E46B8C">
      <w:pPr>
        <w:numPr>
          <w:ilvl w:val="0"/>
          <w:numId w:val="47"/>
        </w:numPr>
        <w:spacing w:after="0" w:line="240" w:lineRule="auto"/>
        <w:ind w:left="1320" w:hanging="330"/>
        <w:jc w:val="both"/>
        <w:rPr>
          <w:rFonts w:eastAsia="Times New Roman" w:cs="Arial"/>
          <w:lang w:val="en-AU" w:eastAsia="en-AU"/>
        </w:rPr>
      </w:pPr>
      <w:r w:rsidRPr="00100AF3">
        <w:rPr>
          <w:rFonts w:eastAsia="Times New Roman" w:cs="Arial"/>
          <w:lang w:val="en-AU" w:eastAsia="en-AU"/>
        </w:rPr>
        <w:t xml:space="preserve">Ensure that a student who has met the progression criteria of a stage of a pathway, has also attained the prescribed level of inter-disciplinary language competence described as ‘Proficient User’ Level B2 by the Council of Europe, </w:t>
      </w:r>
      <w:r>
        <w:rPr>
          <w:rFonts w:eastAsia="Times New Roman" w:cs="Arial"/>
          <w:lang w:val="en-AU" w:eastAsia="en-AU"/>
        </w:rPr>
        <w:t>(</w:t>
      </w:r>
      <w:r w:rsidRPr="00100AF3">
        <w:rPr>
          <w:rFonts w:eastAsia="Times New Roman" w:cs="Arial"/>
          <w:lang w:val="en-AU" w:eastAsia="en-AU"/>
        </w:rPr>
        <w:t xml:space="preserve">see </w:t>
      </w:r>
      <w:r w:rsidRPr="00100AF3">
        <w:rPr>
          <w:rFonts w:eastAsia="Times New Roman" w:cs="Arial"/>
          <w:i/>
          <w:lang w:val="en-AU" w:eastAsia="en-AU"/>
        </w:rPr>
        <w:t>Common European Framework of Reference for languages: Learning, teaching assessment 2001</w:t>
      </w:r>
      <w:r w:rsidRPr="00100AF3">
        <w:rPr>
          <w:rFonts w:eastAsia="Times New Roman" w:cs="Arial"/>
          <w:lang w:val="en-AU" w:eastAsia="en-AU"/>
        </w:rPr>
        <w:t xml:space="preserve">, Council of Europe, CUP, Cambridge, p. 24, Table 1. </w:t>
      </w:r>
      <w:r w:rsidRPr="00100AF3">
        <w:rPr>
          <w:rFonts w:eastAsia="Times New Roman" w:cs="Arial"/>
          <w:i/>
          <w:lang w:val="en-AU" w:eastAsia="en-AU"/>
        </w:rPr>
        <w:t>Common Reference Levels: global scale</w:t>
      </w:r>
      <w:r w:rsidRPr="00100AF3">
        <w:rPr>
          <w:rFonts w:eastAsia="Times New Roman" w:cs="Arial"/>
          <w:lang w:val="en-AU" w:eastAsia="en-AU"/>
        </w:rPr>
        <w:t>.</w:t>
      </w:r>
      <w:r>
        <w:rPr>
          <w:rFonts w:eastAsia="Times New Roman" w:cs="Arial"/>
          <w:lang w:val="en-AU" w:eastAsia="en-AU"/>
        </w:rPr>
        <w:t>)</w:t>
      </w:r>
      <w:r w:rsidRPr="00100AF3">
        <w:rPr>
          <w:rFonts w:eastAsia="Times New Roman" w:cs="Arial"/>
          <w:lang w:val="en-AU" w:eastAsia="en-AU"/>
        </w:rPr>
        <w:t xml:space="preserve"> </w:t>
      </w:r>
    </w:p>
    <w:p w:rsidR="00B2420F" w:rsidRDefault="00B2420F" w:rsidP="00E46B8C">
      <w:pPr>
        <w:numPr>
          <w:ilvl w:val="0"/>
          <w:numId w:val="47"/>
        </w:numPr>
        <w:spacing w:after="0" w:line="240" w:lineRule="auto"/>
        <w:ind w:left="1320" w:hanging="330"/>
        <w:jc w:val="both"/>
        <w:rPr>
          <w:rFonts w:eastAsia="Times New Roman" w:cs="Arial"/>
          <w:lang w:val="en-AU" w:eastAsia="en-AU"/>
        </w:rPr>
      </w:pPr>
      <w:r w:rsidRPr="00100AF3">
        <w:rPr>
          <w:rFonts w:eastAsia="Times New Roman" w:cs="Arial"/>
          <w:lang w:val="en-AU" w:eastAsia="en-AU"/>
        </w:rPr>
        <w:t>Ensure that a student who has successfully met the progression criteria of a stage of a pathway.</w:t>
      </w:r>
    </w:p>
    <w:p w:rsidR="00581AEB" w:rsidRPr="00100AF3" w:rsidRDefault="00581AEB" w:rsidP="00581AEB">
      <w:pPr>
        <w:spacing w:after="0" w:line="240" w:lineRule="auto"/>
        <w:ind w:left="1320"/>
        <w:jc w:val="both"/>
        <w:rPr>
          <w:rFonts w:eastAsia="Times New Roman" w:cs="Arial"/>
          <w:lang w:val="en-AU" w:eastAsia="en-AU"/>
        </w:rPr>
      </w:pPr>
    </w:p>
    <w:p w:rsidR="000D20D8" w:rsidRPr="003E7DC5" w:rsidRDefault="00E46B8C" w:rsidP="00E46B8C">
      <w:pPr>
        <w:spacing w:after="0" w:line="240" w:lineRule="auto"/>
        <w:ind w:left="720" w:hanging="720"/>
        <w:jc w:val="both"/>
        <w:rPr>
          <w:rFonts w:ascii="Calibri" w:hAnsi="Calibri" w:cs="Arial"/>
        </w:rPr>
      </w:pPr>
      <w:r>
        <w:t>9.2.3</w:t>
      </w:r>
      <w:r>
        <w:tab/>
      </w:r>
      <w:r w:rsidR="00F47B91">
        <w:t>When</w:t>
      </w:r>
      <w:r w:rsidR="000D20D8" w:rsidRPr="00F47B91">
        <w:rPr>
          <w:rFonts w:ascii="Calibri" w:hAnsi="Calibri" w:cs="Arial"/>
        </w:rPr>
        <w:t xml:space="preserve"> </w:t>
      </w:r>
      <w:r w:rsidR="00767F88">
        <w:rPr>
          <w:rFonts w:ascii="Calibri" w:hAnsi="Calibri" w:cs="Arial"/>
        </w:rPr>
        <w:t>a</w:t>
      </w:r>
      <w:r w:rsidR="000D20D8" w:rsidRPr="00F47B91">
        <w:rPr>
          <w:rFonts w:ascii="Calibri" w:hAnsi="Calibri" w:cs="Arial"/>
        </w:rPr>
        <w:t xml:space="preserve"> College seeks to gain articulation approval for any of its pathways leading to a final degree award, all proposals must be reviewed </w:t>
      </w:r>
      <w:r w:rsidR="00270608">
        <w:rPr>
          <w:rFonts w:ascii="Calibri" w:hAnsi="Calibri" w:cs="Arial"/>
        </w:rPr>
        <w:t>according to procedures</w:t>
      </w:r>
      <w:r w:rsidR="00235CA5">
        <w:rPr>
          <w:rFonts w:ascii="Calibri" w:hAnsi="Calibri" w:cs="Arial"/>
        </w:rPr>
        <w:t xml:space="preserve"> </w:t>
      </w:r>
      <w:r w:rsidR="00767F88">
        <w:rPr>
          <w:rFonts w:ascii="Calibri" w:hAnsi="Calibri" w:cs="Arial"/>
        </w:rPr>
        <w:t>which</w:t>
      </w:r>
      <w:r w:rsidR="00235CA5">
        <w:rPr>
          <w:rFonts w:ascii="Calibri" w:hAnsi="Calibri" w:cs="Arial"/>
        </w:rPr>
        <w:t xml:space="preserve"> can be found in </w:t>
      </w:r>
      <w:r w:rsidR="00767F88">
        <w:rPr>
          <w:rFonts w:ascii="Calibri" w:hAnsi="Calibri" w:cs="Arial"/>
        </w:rPr>
        <w:t>NPR QS1</w:t>
      </w:r>
      <w:r w:rsidR="000D20D8" w:rsidRPr="00F47B91">
        <w:rPr>
          <w:rFonts w:ascii="Calibri" w:hAnsi="Calibri" w:cs="Arial"/>
        </w:rPr>
        <w:t xml:space="preserve">. </w:t>
      </w:r>
      <w:r w:rsidR="00767F88">
        <w:rPr>
          <w:rFonts w:ascii="Calibri" w:hAnsi="Calibri" w:cs="Arial"/>
        </w:rPr>
        <w:t xml:space="preserve"> </w:t>
      </w:r>
      <w:r w:rsidR="000D20D8" w:rsidRPr="00767F88">
        <w:rPr>
          <w:rFonts w:ascii="Calibri" w:hAnsi="Calibri" w:cs="Arial"/>
        </w:rPr>
        <w:t>The design and review of all pathways will consider external and internal refere</w:t>
      </w:r>
      <w:r w:rsidR="00F47B91" w:rsidRPr="00767F88">
        <w:rPr>
          <w:rFonts w:ascii="Calibri" w:hAnsi="Calibri" w:cs="Arial"/>
        </w:rPr>
        <w:t xml:space="preserve">nce points inclusive of the </w:t>
      </w:r>
      <w:r w:rsidR="00767F88">
        <w:rPr>
          <w:rFonts w:ascii="Calibri" w:hAnsi="Calibri" w:cs="Arial"/>
        </w:rPr>
        <w:t xml:space="preserve">QAA Quality </w:t>
      </w:r>
      <w:r w:rsidR="000C4B5A" w:rsidRPr="003E7DC5">
        <w:rPr>
          <w:rFonts w:ascii="Calibri" w:hAnsi="Calibri" w:cs="Arial"/>
        </w:rPr>
        <w:t>Code and</w:t>
      </w:r>
      <w:r w:rsidR="000D20D8" w:rsidRPr="003E7DC5">
        <w:rPr>
          <w:rFonts w:ascii="Calibri" w:hAnsi="Calibri" w:cs="Arial"/>
        </w:rPr>
        <w:t xml:space="preserve"> the requirements of Professional </w:t>
      </w:r>
      <w:r w:rsidR="00767F88">
        <w:rPr>
          <w:rFonts w:ascii="Calibri" w:hAnsi="Calibri" w:cs="Arial"/>
        </w:rPr>
        <w:t>and Statutory Regulatory Bodies</w:t>
      </w:r>
      <w:r w:rsidR="000D20D8" w:rsidRPr="003E7DC5">
        <w:rPr>
          <w:rFonts w:ascii="Calibri" w:hAnsi="Calibri" w:cs="Arial"/>
        </w:rPr>
        <w:t xml:space="preserve"> (PSRBs).</w:t>
      </w:r>
      <w:r w:rsidR="00270608">
        <w:rPr>
          <w:rFonts w:ascii="Calibri" w:hAnsi="Calibri" w:cs="Arial"/>
        </w:rPr>
        <w:t xml:space="preserve">  NPR QS1 Provides guidance on design criteria for new pathways.</w:t>
      </w:r>
    </w:p>
    <w:p w:rsidR="00BF1551" w:rsidRDefault="00BF1551" w:rsidP="00BF1551">
      <w:pPr>
        <w:spacing w:after="0" w:line="240" w:lineRule="auto"/>
        <w:ind w:left="720"/>
        <w:jc w:val="both"/>
        <w:rPr>
          <w:rFonts w:ascii="Calibri" w:hAnsi="Calibri" w:cs="Arial"/>
        </w:rPr>
      </w:pPr>
    </w:p>
    <w:p w:rsidR="00BF1551" w:rsidRDefault="00BF1551" w:rsidP="00BF1551">
      <w:pPr>
        <w:spacing w:after="0" w:line="240" w:lineRule="auto"/>
        <w:ind w:left="720" w:hanging="720"/>
        <w:jc w:val="both"/>
        <w:rPr>
          <w:rFonts w:ascii="Calibri" w:hAnsi="Calibri" w:cs="Arial"/>
        </w:rPr>
      </w:pPr>
      <w:r>
        <w:rPr>
          <w:rFonts w:ascii="Calibri" w:hAnsi="Calibri" w:cs="Arial"/>
          <w:b/>
        </w:rPr>
        <w:t>9.3</w:t>
      </w:r>
      <w:r>
        <w:rPr>
          <w:rFonts w:ascii="Calibri" w:hAnsi="Calibri" w:cs="Arial"/>
          <w:b/>
        </w:rPr>
        <w:tab/>
        <w:t>External Reference Points</w:t>
      </w:r>
    </w:p>
    <w:p w:rsidR="00BF1551" w:rsidRDefault="00BF1551" w:rsidP="00BF1551">
      <w:pPr>
        <w:spacing w:after="0" w:line="240" w:lineRule="auto"/>
        <w:ind w:left="720"/>
        <w:jc w:val="both"/>
        <w:rPr>
          <w:rFonts w:ascii="Calibri" w:hAnsi="Calibri" w:cs="Arial"/>
        </w:rPr>
      </w:pPr>
    </w:p>
    <w:p w:rsidR="000D20D8" w:rsidRDefault="00E46B8C" w:rsidP="00E46B8C">
      <w:pPr>
        <w:spacing w:after="0" w:line="240" w:lineRule="auto"/>
        <w:ind w:left="720" w:hanging="720"/>
        <w:jc w:val="both"/>
        <w:rPr>
          <w:rFonts w:ascii="Calibri" w:hAnsi="Calibri" w:cs="Arial"/>
        </w:rPr>
      </w:pPr>
      <w:r>
        <w:rPr>
          <w:rFonts w:ascii="Calibri" w:hAnsi="Calibri" w:cs="Arial"/>
        </w:rPr>
        <w:t>9.3.1</w:t>
      </w:r>
      <w:r>
        <w:rPr>
          <w:rFonts w:ascii="Calibri" w:hAnsi="Calibri" w:cs="Arial"/>
        </w:rPr>
        <w:tab/>
      </w:r>
      <w:r w:rsidR="00270608" w:rsidRPr="00BF1551">
        <w:rPr>
          <w:rFonts w:ascii="Calibri" w:hAnsi="Calibri" w:cs="Arial"/>
        </w:rPr>
        <w:t>Pathway</w:t>
      </w:r>
      <w:r w:rsidR="00270608">
        <w:rPr>
          <w:rFonts w:ascii="Calibri" w:hAnsi="Calibri" w:cs="Arial"/>
        </w:rPr>
        <w:t xml:space="preserve"> s</w:t>
      </w:r>
      <w:r w:rsidR="000D20D8" w:rsidRPr="00F47B91">
        <w:rPr>
          <w:rFonts w:ascii="Calibri" w:hAnsi="Calibri" w:cs="Arial"/>
        </w:rPr>
        <w:t>tages</w:t>
      </w:r>
      <w:r w:rsidR="00235CA5">
        <w:rPr>
          <w:rFonts w:ascii="Calibri" w:hAnsi="Calibri" w:cs="Arial"/>
        </w:rPr>
        <w:t xml:space="preserve"> must remain</w:t>
      </w:r>
      <w:r w:rsidR="000D20D8" w:rsidRPr="00837600">
        <w:rPr>
          <w:rFonts w:ascii="Calibri" w:hAnsi="Calibri" w:cs="Arial"/>
        </w:rPr>
        <w:t xml:space="preserve"> consistent with the appropriate </w:t>
      </w:r>
      <w:r w:rsidR="00270608">
        <w:rPr>
          <w:rFonts w:ascii="Calibri" w:hAnsi="Calibri" w:cs="Arial"/>
        </w:rPr>
        <w:t>higher education</w:t>
      </w:r>
      <w:r w:rsidR="000D20D8" w:rsidRPr="00837600">
        <w:rPr>
          <w:rFonts w:ascii="Calibri" w:hAnsi="Calibri" w:cs="Arial"/>
        </w:rPr>
        <w:t xml:space="preserve"> levels </w:t>
      </w:r>
      <w:r w:rsidR="000D20D8">
        <w:rPr>
          <w:rFonts w:ascii="Calibri" w:hAnsi="Calibri" w:cs="Arial"/>
        </w:rPr>
        <w:t xml:space="preserve">and build to a final </w:t>
      </w:r>
      <w:r w:rsidR="00270608">
        <w:rPr>
          <w:rFonts w:ascii="Calibri" w:hAnsi="Calibri" w:cs="Arial"/>
        </w:rPr>
        <w:t>Partner U</w:t>
      </w:r>
      <w:r w:rsidR="00CB3D3F">
        <w:rPr>
          <w:rFonts w:ascii="Calibri" w:hAnsi="Calibri" w:cs="Arial"/>
        </w:rPr>
        <w:t>niversity</w:t>
      </w:r>
      <w:r w:rsidR="000D20D8">
        <w:rPr>
          <w:rFonts w:ascii="Calibri" w:hAnsi="Calibri" w:cs="Arial"/>
        </w:rPr>
        <w:t xml:space="preserve"> degree award as defined by the NQF</w:t>
      </w:r>
      <w:r w:rsidR="00133A0B">
        <w:rPr>
          <w:rFonts w:ascii="Calibri" w:hAnsi="Calibri" w:cs="Arial"/>
        </w:rPr>
        <w:t>/SCQF</w:t>
      </w:r>
      <w:r w:rsidR="00F47B91">
        <w:rPr>
          <w:rFonts w:ascii="Calibri" w:hAnsi="Calibri" w:cs="Arial"/>
        </w:rPr>
        <w:t>/FHEQ</w:t>
      </w:r>
      <w:r w:rsidR="000D20D8" w:rsidRPr="00837600">
        <w:rPr>
          <w:rFonts w:ascii="Calibri" w:hAnsi="Calibri" w:cs="Arial"/>
        </w:rPr>
        <w:t xml:space="preserve">. </w:t>
      </w:r>
      <w:r w:rsidR="00270608">
        <w:rPr>
          <w:rFonts w:ascii="Calibri" w:hAnsi="Calibri" w:cs="Arial"/>
        </w:rPr>
        <w:t xml:space="preserve"> </w:t>
      </w:r>
      <w:r w:rsidR="000D20D8">
        <w:rPr>
          <w:rFonts w:ascii="Calibri" w:hAnsi="Calibri" w:cs="Arial"/>
        </w:rPr>
        <w:t>A stage therefore, benchmarks</w:t>
      </w:r>
      <w:r w:rsidR="000D20D8" w:rsidRPr="00837600">
        <w:rPr>
          <w:rFonts w:ascii="Calibri" w:hAnsi="Calibri" w:cs="Arial"/>
        </w:rPr>
        <w:t xml:space="preserve"> the relative academic demand, complexity or understanding, depth of learning and autonomy that a student is expected to demonstrate </w:t>
      </w:r>
      <w:r w:rsidR="000D20D8">
        <w:rPr>
          <w:rFonts w:ascii="Calibri" w:hAnsi="Calibri" w:cs="Arial"/>
        </w:rPr>
        <w:t xml:space="preserve">at a specified point in </w:t>
      </w:r>
      <w:r w:rsidR="00270608">
        <w:rPr>
          <w:rFonts w:ascii="Calibri" w:hAnsi="Calibri" w:cs="Arial"/>
        </w:rPr>
        <w:t>his/her</w:t>
      </w:r>
      <w:r w:rsidR="000D20D8">
        <w:rPr>
          <w:rFonts w:ascii="Calibri" w:hAnsi="Calibri" w:cs="Arial"/>
        </w:rPr>
        <w:t xml:space="preserve"> educational continuum, at either undergraduate or postgraduate studies.</w:t>
      </w:r>
    </w:p>
    <w:p w:rsidR="005C4FDA" w:rsidRDefault="00E46B8C" w:rsidP="00E46B8C">
      <w:pPr>
        <w:spacing w:after="0" w:line="240" w:lineRule="auto"/>
        <w:ind w:left="720" w:hanging="720"/>
        <w:jc w:val="both"/>
        <w:rPr>
          <w:rFonts w:ascii="Calibri" w:hAnsi="Calibri" w:cs="Arial"/>
        </w:rPr>
      </w:pPr>
      <w:r>
        <w:rPr>
          <w:rFonts w:ascii="Calibri" w:hAnsi="Calibri" w:cs="Arial"/>
        </w:rPr>
        <w:t>9.3.2</w:t>
      </w:r>
      <w:r>
        <w:rPr>
          <w:rFonts w:ascii="Calibri" w:hAnsi="Calibri" w:cs="Arial"/>
        </w:rPr>
        <w:tab/>
      </w:r>
      <w:r w:rsidR="00EF1172">
        <w:rPr>
          <w:rFonts w:ascii="Calibri" w:hAnsi="Calibri" w:cs="Arial"/>
        </w:rPr>
        <w:t>Programmes and modules must adhere to the standard modular and notional hours fr</w:t>
      </w:r>
      <w:r w:rsidR="00EB4887">
        <w:rPr>
          <w:rFonts w:ascii="Calibri" w:hAnsi="Calibri" w:cs="Arial"/>
        </w:rPr>
        <w:t>ameworks and requirements</w:t>
      </w:r>
      <w:r w:rsidR="00EF1172">
        <w:rPr>
          <w:rFonts w:ascii="Calibri" w:hAnsi="Calibri" w:cs="Arial"/>
        </w:rPr>
        <w:t>.</w:t>
      </w:r>
      <w:r w:rsidR="000D20D8" w:rsidRPr="0005468C">
        <w:rPr>
          <w:rFonts w:ascii="Calibri" w:hAnsi="Calibri" w:cs="Arial"/>
        </w:rPr>
        <w:t xml:space="preserve"> </w:t>
      </w:r>
      <w:r w:rsidR="007C3554">
        <w:rPr>
          <w:rFonts w:ascii="Calibri" w:hAnsi="Calibri" w:cs="Arial"/>
        </w:rPr>
        <w:t>A</w:t>
      </w:r>
      <w:r w:rsidR="00EF1172">
        <w:rPr>
          <w:rFonts w:ascii="Calibri" w:hAnsi="Calibri" w:cs="Arial"/>
        </w:rPr>
        <w:t xml:space="preserve">ll </w:t>
      </w:r>
      <w:r w:rsidR="007C3554">
        <w:rPr>
          <w:rFonts w:ascii="Calibri" w:hAnsi="Calibri" w:cs="Arial"/>
        </w:rPr>
        <w:t>Programme Specification</w:t>
      </w:r>
      <w:r w:rsidR="00EF1172">
        <w:rPr>
          <w:rFonts w:ascii="Calibri" w:hAnsi="Calibri" w:cs="Arial"/>
        </w:rPr>
        <w:t>s contain</w:t>
      </w:r>
      <w:r w:rsidR="000D20D8">
        <w:rPr>
          <w:rFonts w:ascii="Calibri" w:hAnsi="Calibri" w:cs="Arial"/>
        </w:rPr>
        <w:t xml:space="preserve"> a breakdown </w:t>
      </w:r>
      <w:r w:rsidR="00EB4887">
        <w:rPr>
          <w:rFonts w:ascii="Calibri" w:hAnsi="Calibri" w:cs="Arial"/>
        </w:rPr>
        <w:t>of</w:t>
      </w:r>
      <w:r w:rsidR="000D20D8">
        <w:rPr>
          <w:rFonts w:ascii="Calibri" w:hAnsi="Calibri" w:cs="Arial"/>
        </w:rPr>
        <w:t xml:space="preserve"> the ratio of contact</w:t>
      </w:r>
      <w:r w:rsidR="007C3554">
        <w:rPr>
          <w:rFonts w:ascii="Calibri" w:hAnsi="Calibri" w:cs="Arial"/>
        </w:rPr>
        <w:t>, directed and</w:t>
      </w:r>
      <w:r w:rsidR="000D20D8">
        <w:rPr>
          <w:rFonts w:ascii="Calibri" w:hAnsi="Calibri" w:cs="Arial"/>
        </w:rPr>
        <w:t xml:space="preserve"> s</w:t>
      </w:r>
      <w:r w:rsidR="007C3554">
        <w:rPr>
          <w:rFonts w:ascii="Calibri" w:hAnsi="Calibri" w:cs="Arial"/>
        </w:rPr>
        <w:t>elf-direc</w:t>
      </w:r>
      <w:r w:rsidR="0049667D">
        <w:rPr>
          <w:rFonts w:ascii="Calibri" w:hAnsi="Calibri" w:cs="Arial"/>
        </w:rPr>
        <w:t>ted study hours</w:t>
      </w:r>
      <w:r w:rsidR="005C4FDA">
        <w:rPr>
          <w:rFonts w:ascii="Calibri" w:hAnsi="Calibri" w:cs="Arial"/>
        </w:rPr>
        <w:t>.</w:t>
      </w:r>
    </w:p>
    <w:p w:rsidR="00581AEB" w:rsidRDefault="00581AEB" w:rsidP="00E46B8C">
      <w:pPr>
        <w:spacing w:after="0" w:line="240" w:lineRule="auto"/>
        <w:ind w:left="720" w:hanging="720"/>
        <w:jc w:val="both"/>
        <w:rPr>
          <w:rFonts w:ascii="Calibri" w:hAnsi="Calibri" w:cs="Arial"/>
        </w:rPr>
      </w:pPr>
      <w:r>
        <w:rPr>
          <w:rFonts w:ascii="Calibri" w:hAnsi="Calibri" w:cs="Arial"/>
        </w:rPr>
        <w:t>9.3.3</w:t>
      </w:r>
      <w:r>
        <w:rPr>
          <w:rFonts w:ascii="Calibri" w:hAnsi="Calibri" w:cs="Arial"/>
        </w:rPr>
        <w:tab/>
        <w:t>The QAA Quality Cod and associated subject benchmark statements are used in the design of curricula.</w:t>
      </w:r>
    </w:p>
    <w:p w:rsidR="00BF1551" w:rsidRDefault="00BF1551" w:rsidP="00270608">
      <w:pPr>
        <w:spacing w:after="0" w:line="240" w:lineRule="auto"/>
        <w:ind w:left="720" w:hanging="720"/>
        <w:jc w:val="both"/>
        <w:rPr>
          <w:rFonts w:ascii="Calibri" w:eastAsia="Times New Roman" w:hAnsi="Calibri" w:cs="Arial"/>
          <w:sz w:val="20"/>
          <w:szCs w:val="20"/>
          <w:lang w:val="en-AU" w:eastAsia="en-AU"/>
        </w:rPr>
      </w:pPr>
    </w:p>
    <w:p w:rsidR="00BF1551" w:rsidRDefault="00BF1551" w:rsidP="00270608">
      <w:pPr>
        <w:spacing w:after="0" w:line="240" w:lineRule="auto"/>
        <w:ind w:left="720" w:hanging="720"/>
        <w:jc w:val="both"/>
        <w:rPr>
          <w:rFonts w:ascii="Calibri" w:eastAsia="Times New Roman" w:hAnsi="Calibri" w:cs="Arial"/>
          <w:b/>
          <w:lang w:val="en-AU" w:eastAsia="en-AU"/>
        </w:rPr>
      </w:pPr>
      <w:r w:rsidRPr="00BF1551">
        <w:rPr>
          <w:rFonts w:ascii="Calibri" w:eastAsia="Times New Roman" w:hAnsi="Calibri" w:cs="Arial"/>
          <w:b/>
          <w:lang w:val="en-AU" w:eastAsia="en-AU"/>
        </w:rPr>
        <w:t>9.4</w:t>
      </w:r>
      <w:r w:rsidRPr="00BF1551">
        <w:rPr>
          <w:rFonts w:ascii="Calibri" w:eastAsia="Times New Roman" w:hAnsi="Calibri" w:cs="Arial"/>
          <w:b/>
          <w:lang w:val="en-AU" w:eastAsia="en-AU"/>
        </w:rPr>
        <w:tab/>
      </w:r>
      <w:r>
        <w:rPr>
          <w:rFonts w:ascii="Calibri" w:eastAsia="Times New Roman" w:hAnsi="Calibri" w:cs="Arial"/>
          <w:b/>
          <w:lang w:val="en-AU" w:eastAsia="en-AU"/>
        </w:rPr>
        <w:t>The Academic Year</w:t>
      </w:r>
    </w:p>
    <w:p w:rsidR="00BF1551" w:rsidRPr="00BF1551" w:rsidRDefault="00BF1551" w:rsidP="00270608">
      <w:pPr>
        <w:spacing w:after="0" w:line="240" w:lineRule="auto"/>
        <w:ind w:left="720" w:hanging="720"/>
        <w:jc w:val="both"/>
        <w:rPr>
          <w:rFonts w:ascii="Calibri" w:eastAsia="Times New Roman" w:hAnsi="Calibri" w:cs="Arial"/>
          <w:b/>
          <w:lang w:val="en-AU" w:eastAsia="en-AU"/>
        </w:rPr>
      </w:pPr>
    </w:p>
    <w:p w:rsidR="00270608" w:rsidRPr="00BF1551" w:rsidRDefault="00E46B8C" w:rsidP="00E46B8C">
      <w:pPr>
        <w:spacing w:after="0" w:line="240" w:lineRule="auto"/>
        <w:ind w:left="720" w:hanging="720"/>
        <w:jc w:val="both"/>
        <w:rPr>
          <w:rFonts w:ascii="Calibri" w:eastAsia="Times New Roman" w:hAnsi="Calibri" w:cs="Arial"/>
          <w:lang w:val="en-AU" w:eastAsia="en-AU"/>
        </w:rPr>
      </w:pPr>
      <w:r>
        <w:rPr>
          <w:rFonts w:ascii="Calibri" w:eastAsia="Times New Roman" w:hAnsi="Calibri" w:cs="Arial"/>
          <w:lang w:val="en-AU" w:eastAsia="en-AU"/>
        </w:rPr>
        <w:t>9.4.1</w:t>
      </w:r>
      <w:r>
        <w:rPr>
          <w:rFonts w:ascii="Calibri" w:eastAsia="Times New Roman" w:hAnsi="Calibri" w:cs="Arial"/>
          <w:lang w:val="en-AU" w:eastAsia="en-AU"/>
        </w:rPr>
        <w:tab/>
      </w:r>
      <w:r w:rsidR="00BF1551" w:rsidRPr="00BF1551">
        <w:rPr>
          <w:rFonts w:ascii="Calibri" w:eastAsia="Times New Roman" w:hAnsi="Calibri" w:cs="Arial"/>
          <w:lang w:val="en-AU" w:eastAsia="en-AU"/>
        </w:rPr>
        <w:t>T</w:t>
      </w:r>
      <w:r w:rsidR="00270608" w:rsidRPr="00BF1551">
        <w:rPr>
          <w:rFonts w:ascii="Calibri" w:eastAsia="Times New Roman" w:hAnsi="Calibri" w:cs="Arial"/>
          <w:lang w:val="en-AU" w:eastAsia="en-AU"/>
        </w:rPr>
        <w:t xml:space="preserve">he academic session is divided for the purpose of student contact, including orientation and induction, registration, advice, teaching, examination, as assessment purposes, into </w:t>
      </w:r>
      <w:r w:rsidR="00270608" w:rsidRPr="00BF1551">
        <w:rPr>
          <w:rFonts w:ascii="Calibri" w:eastAsia="Times New Roman" w:hAnsi="Calibri" w:cs="Arial"/>
          <w:b/>
          <w:lang w:val="en-AU" w:eastAsia="en-AU"/>
        </w:rPr>
        <w:t xml:space="preserve">semesters </w:t>
      </w:r>
      <w:r w:rsidR="00270608" w:rsidRPr="00BF1551">
        <w:rPr>
          <w:rFonts w:ascii="Calibri" w:eastAsia="Times New Roman" w:hAnsi="Calibri" w:cs="Arial"/>
          <w:lang w:val="en-AU" w:eastAsia="en-AU"/>
        </w:rPr>
        <w:t>on the basis of the agreed College academic calendar/s.</w:t>
      </w:r>
    </w:p>
    <w:p w:rsidR="00270608" w:rsidRPr="00BF1551" w:rsidRDefault="00E46B8C" w:rsidP="00E46B8C">
      <w:pPr>
        <w:spacing w:after="0" w:line="240" w:lineRule="auto"/>
        <w:ind w:left="720" w:hanging="720"/>
        <w:jc w:val="both"/>
        <w:rPr>
          <w:rFonts w:ascii="Calibri" w:eastAsia="Times New Roman" w:hAnsi="Calibri" w:cs="Arial"/>
          <w:lang w:val="en-AU" w:eastAsia="en-AU"/>
        </w:rPr>
      </w:pPr>
      <w:r>
        <w:rPr>
          <w:rFonts w:ascii="Calibri" w:eastAsia="Times New Roman" w:hAnsi="Calibri" w:cs="Arial"/>
          <w:lang w:val="en-AU" w:eastAsia="en-AU"/>
        </w:rPr>
        <w:t>9.4.2</w:t>
      </w:r>
      <w:r>
        <w:rPr>
          <w:rFonts w:ascii="Calibri" w:eastAsia="Times New Roman" w:hAnsi="Calibri" w:cs="Arial"/>
          <w:lang w:val="en-AU" w:eastAsia="en-AU"/>
        </w:rPr>
        <w:tab/>
      </w:r>
      <w:r w:rsidR="00270608" w:rsidRPr="00BF1551">
        <w:rPr>
          <w:rFonts w:ascii="Calibri" w:eastAsia="Times New Roman" w:hAnsi="Calibri" w:cs="Arial"/>
          <w:lang w:val="en-AU" w:eastAsia="en-AU"/>
        </w:rPr>
        <w:t>For the purpose of parity and progression processes, the College ensures</w:t>
      </w:r>
      <w:r>
        <w:rPr>
          <w:rFonts w:ascii="Calibri" w:eastAsia="Times New Roman" w:hAnsi="Calibri" w:cs="Arial"/>
          <w:lang w:val="en-AU" w:eastAsia="en-AU"/>
        </w:rPr>
        <w:t xml:space="preserve"> that</w:t>
      </w:r>
      <w:r w:rsidR="00270608" w:rsidRPr="00BF1551">
        <w:rPr>
          <w:rFonts w:ascii="Calibri" w:eastAsia="Times New Roman" w:hAnsi="Calibri" w:cs="Arial"/>
          <w:lang w:val="en-AU" w:eastAsia="en-AU"/>
        </w:rPr>
        <w:t xml:space="preserve">, where possible, its Semester 3 (September/October-December/January) and Semester 1 (January/February-May) commencement times are </w:t>
      </w:r>
      <w:r w:rsidR="00270608" w:rsidRPr="00BF1551">
        <w:rPr>
          <w:rFonts w:ascii="Calibri" w:eastAsia="Times New Roman" w:hAnsi="Calibri" w:cs="Arial"/>
          <w:lang w:val="en-AU" w:eastAsia="en-AU"/>
        </w:rPr>
        <w:lastRenderedPageBreak/>
        <w:t>in line with the University’s Semester ‘A/1’ and Semester ‘B/2’ commencement, respectively. Therefore, Semester 2 is aligned to the University’s Semester ‘3’ and summer break period.</w:t>
      </w:r>
    </w:p>
    <w:p w:rsidR="00270608" w:rsidRPr="00BF1551" w:rsidRDefault="00E46B8C" w:rsidP="00E46B8C">
      <w:pPr>
        <w:spacing w:after="0" w:line="240" w:lineRule="auto"/>
        <w:ind w:left="720" w:hanging="720"/>
        <w:jc w:val="both"/>
        <w:rPr>
          <w:rFonts w:ascii="Calibri" w:eastAsia="Times New Roman" w:hAnsi="Calibri" w:cs="Arial"/>
          <w:lang w:val="en-AU" w:eastAsia="en-AU"/>
        </w:rPr>
      </w:pPr>
      <w:r>
        <w:rPr>
          <w:rFonts w:ascii="Calibri" w:eastAsia="Times New Roman" w:hAnsi="Calibri" w:cs="Arial"/>
          <w:lang w:val="en-AU" w:eastAsia="en-AU"/>
        </w:rPr>
        <w:t>9.4.3</w:t>
      </w:r>
      <w:r>
        <w:rPr>
          <w:rFonts w:ascii="Calibri" w:eastAsia="Times New Roman" w:hAnsi="Calibri" w:cs="Arial"/>
          <w:lang w:val="en-AU" w:eastAsia="en-AU"/>
        </w:rPr>
        <w:tab/>
      </w:r>
      <w:r w:rsidR="00270608" w:rsidRPr="00BF1551">
        <w:rPr>
          <w:rFonts w:ascii="Calibri" w:eastAsia="Times New Roman" w:hAnsi="Calibri" w:cs="Arial"/>
          <w:lang w:val="en-AU" w:eastAsia="en-AU"/>
        </w:rPr>
        <w:t>The College academic year is based around three main intake points. This schedule maintains flexibility of commencement of studies for students and to facilitate seamless progression to the University’s academic cycle.</w:t>
      </w:r>
    </w:p>
    <w:p w:rsidR="00270608" w:rsidRPr="00BF1551" w:rsidRDefault="00E46B8C" w:rsidP="00E46B8C">
      <w:pPr>
        <w:spacing w:after="0" w:line="240" w:lineRule="auto"/>
        <w:ind w:left="720" w:hanging="720"/>
        <w:jc w:val="both"/>
        <w:rPr>
          <w:rFonts w:ascii="Calibri" w:eastAsia="Times New Roman" w:hAnsi="Calibri" w:cs="Arial"/>
          <w:lang w:val="en-AU" w:eastAsia="en-AU"/>
        </w:rPr>
      </w:pPr>
      <w:r>
        <w:rPr>
          <w:rFonts w:ascii="Calibri" w:eastAsia="Times New Roman" w:hAnsi="Calibri" w:cs="Arial"/>
          <w:lang w:val="en-AU" w:eastAsia="en-AU"/>
        </w:rPr>
        <w:t>9.4.4</w:t>
      </w:r>
      <w:r>
        <w:rPr>
          <w:rFonts w:ascii="Calibri" w:eastAsia="Times New Roman" w:hAnsi="Calibri" w:cs="Arial"/>
          <w:lang w:val="en-AU" w:eastAsia="en-AU"/>
        </w:rPr>
        <w:tab/>
      </w:r>
      <w:r w:rsidR="00270608" w:rsidRPr="00BF1551">
        <w:rPr>
          <w:rFonts w:ascii="Calibri" w:eastAsia="Times New Roman" w:hAnsi="Calibri" w:cs="Arial"/>
          <w:lang w:val="en-AU" w:eastAsia="en-AU"/>
        </w:rPr>
        <w:t xml:space="preserve">The College may run stages or modules outside of its normal intakes due the needs and requirements of different delivery models. </w:t>
      </w:r>
    </w:p>
    <w:p w:rsidR="00270608" w:rsidRPr="00270608" w:rsidRDefault="00270608" w:rsidP="00270608">
      <w:pPr>
        <w:spacing w:after="0" w:line="240" w:lineRule="auto"/>
        <w:ind w:left="720"/>
        <w:jc w:val="both"/>
        <w:rPr>
          <w:rFonts w:ascii="Calibri" w:eastAsia="Times New Roman" w:hAnsi="Calibri" w:cs="Arial"/>
          <w:sz w:val="20"/>
          <w:szCs w:val="20"/>
          <w:lang w:val="en-AU" w:eastAsia="en-AU"/>
        </w:rPr>
      </w:pPr>
    </w:p>
    <w:p w:rsidR="00270608" w:rsidRPr="00BF1551" w:rsidRDefault="00BF1551" w:rsidP="00270608">
      <w:pPr>
        <w:spacing w:after="0" w:line="240" w:lineRule="auto"/>
        <w:jc w:val="both"/>
        <w:rPr>
          <w:rFonts w:ascii="Calibri" w:eastAsia="Times New Roman" w:hAnsi="Calibri" w:cs="Arial"/>
          <w:b/>
          <w:lang w:val="en-AU" w:eastAsia="en-AU"/>
        </w:rPr>
      </w:pPr>
      <w:r w:rsidRPr="00BF1551">
        <w:rPr>
          <w:rFonts w:ascii="Calibri" w:eastAsia="Times New Roman" w:hAnsi="Calibri" w:cs="Arial"/>
          <w:b/>
          <w:lang w:val="en-AU" w:eastAsia="en-AU"/>
        </w:rPr>
        <w:t>9.5</w:t>
      </w:r>
      <w:r w:rsidRPr="00BF1551">
        <w:rPr>
          <w:rFonts w:ascii="Calibri" w:eastAsia="Times New Roman" w:hAnsi="Calibri" w:cs="Arial"/>
          <w:b/>
          <w:lang w:val="en-AU" w:eastAsia="en-AU"/>
        </w:rPr>
        <w:tab/>
        <w:t>Progression</w:t>
      </w:r>
    </w:p>
    <w:p w:rsidR="00BF1551" w:rsidRPr="00BF1551" w:rsidRDefault="00BF1551" w:rsidP="00270608">
      <w:pPr>
        <w:spacing w:after="0" w:line="240" w:lineRule="auto"/>
        <w:jc w:val="both"/>
        <w:rPr>
          <w:rFonts w:ascii="Calibri" w:eastAsia="Times New Roman" w:hAnsi="Calibri" w:cs="Arial"/>
          <w:lang w:val="en-AU" w:eastAsia="en-AU"/>
        </w:rPr>
      </w:pPr>
    </w:p>
    <w:p w:rsidR="00270608" w:rsidRPr="00BF1551" w:rsidRDefault="00E46B8C" w:rsidP="00E46B8C">
      <w:pPr>
        <w:spacing w:after="0" w:line="240" w:lineRule="auto"/>
        <w:ind w:left="720" w:hanging="720"/>
        <w:jc w:val="both"/>
        <w:rPr>
          <w:rFonts w:ascii="Calibri" w:eastAsia="Times New Roman" w:hAnsi="Calibri" w:cs="Arial"/>
          <w:lang w:val="en-AU" w:eastAsia="en-AU"/>
        </w:rPr>
      </w:pPr>
      <w:r>
        <w:rPr>
          <w:rFonts w:ascii="Calibri" w:eastAsia="Times New Roman" w:hAnsi="Calibri" w:cs="Arial"/>
          <w:lang w:val="en-AU" w:eastAsia="en-AU"/>
        </w:rPr>
        <w:t>9.5.1</w:t>
      </w:r>
      <w:r>
        <w:rPr>
          <w:rFonts w:ascii="Calibri" w:eastAsia="Times New Roman" w:hAnsi="Calibri" w:cs="Arial"/>
          <w:lang w:val="en-AU" w:eastAsia="en-AU"/>
        </w:rPr>
        <w:tab/>
      </w:r>
      <w:r w:rsidR="00270608" w:rsidRPr="00BF1551">
        <w:rPr>
          <w:rFonts w:ascii="Calibri" w:eastAsia="Times New Roman" w:hAnsi="Calibri" w:cs="Arial"/>
          <w:lang w:val="en-AU" w:eastAsia="en-AU"/>
        </w:rPr>
        <w:t xml:space="preserve">Students of the College are enrolled on prescribed stages of study that are approved by the University for articulation to a University named award. Articulation to the University takes place at </w:t>
      </w:r>
      <w:r w:rsidR="0058439B">
        <w:rPr>
          <w:rFonts w:ascii="Calibri" w:eastAsia="Times New Roman" w:hAnsi="Calibri" w:cs="Arial"/>
          <w:lang w:val="en-AU" w:eastAsia="en-AU"/>
        </w:rPr>
        <w:t>a specified stage</w:t>
      </w:r>
      <w:r w:rsidR="00270608" w:rsidRPr="00BF1551">
        <w:rPr>
          <w:rFonts w:ascii="Calibri" w:eastAsia="Times New Roman" w:hAnsi="Calibri" w:cs="Arial"/>
          <w:lang w:val="en-AU" w:eastAsia="en-AU"/>
        </w:rPr>
        <w:t xml:space="preserve"> and is supported by appropriate quality processes to assure parity and e</w:t>
      </w:r>
      <w:r w:rsidR="0058439B">
        <w:rPr>
          <w:rFonts w:ascii="Calibri" w:eastAsia="Times New Roman" w:hAnsi="Calibri" w:cs="Arial"/>
          <w:lang w:val="en-AU" w:eastAsia="en-AU"/>
        </w:rPr>
        <w:t>quity of achievement</w:t>
      </w:r>
      <w:r w:rsidR="00270608" w:rsidRPr="00BF1551">
        <w:rPr>
          <w:rFonts w:ascii="Calibri" w:eastAsia="Times New Roman" w:hAnsi="Calibri" w:cs="Arial"/>
          <w:lang w:val="en-AU" w:eastAsia="en-AU"/>
        </w:rPr>
        <w:t>.</w:t>
      </w:r>
    </w:p>
    <w:p w:rsidR="00270608" w:rsidRPr="00BF1551" w:rsidRDefault="00E46B8C" w:rsidP="00E46B8C">
      <w:pPr>
        <w:spacing w:after="0" w:line="240" w:lineRule="auto"/>
        <w:ind w:left="720" w:hanging="720"/>
        <w:jc w:val="both"/>
        <w:rPr>
          <w:rFonts w:ascii="Calibri" w:eastAsia="Times New Roman" w:hAnsi="Calibri" w:cs="Arial"/>
          <w:lang w:val="en-AU" w:eastAsia="en-AU"/>
        </w:rPr>
      </w:pPr>
      <w:r>
        <w:rPr>
          <w:rFonts w:ascii="Calibri" w:eastAsia="Times New Roman" w:hAnsi="Calibri" w:cs="Arial"/>
          <w:lang w:val="en-AU" w:eastAsia="en-AU"/>
        </w:rPr>
        <w:t>9.5.2</w:t>
      </w:r>
      <w:r>
        <w:rPr>
          <w:rFonts w:ascii="Calibri" w:eastAsia="Times New Roman" w:hAnsi="Calibri" w:cs="Arial"/>
          <w:lang w:val="en-AU" w:eastAsia="en-AU"/>
        </w:rPr>
        <w:tab/>
      </w:r>
      <w:r w:rsidR="00270608" w:rsidRPr="00BF1551">
        <w:rPr>
          <w:rFonts w:ascii="Calibri" w:eastAsia="Times New Roman" w:hAnsi="Calibri" w:cs="Arial"/>
          <w:lang w:val="en-AU" w:eastAsia="en-AU"/>
        </w:rPr>
        <w:t>Those students who successfully meet the nominal progression criteria of a stage are thereby approved for progression to the next stage in their educational continuum. Those students whose next stage of progression is to the University are issued with a Confirmation of Attainment to demonstrate articulation to a guaranteed pathway place.</w:t>
      </w:r>
    </w:p>
    <w:p w:rsidR="00270608" w:rsidRPr="00BF1551" w:rsidRDefault="00E46B8C" w:rsidP="00270608">
      <w:pPr>
        <w:tabs>
          <w:tab w:val="left" w:pos="0"/>
        </w:tabs>
        <w:spacing w:after="0" w:line="240" w:lineRule="auto"/>
        <w:ind w:left="720" w:hanging="720"/>
        <w:jc w:val="both"/>
        <w:outlineLvl w:val="2"/>
        <w:rPr>
          <w:rFonts w:eastAsia="Times New Roman" w:cstheme="minorHAnsi"/>
          <w:lang w:eastAsia="en-US"/>
        </w:rPr>
      </w:pPr>
      <w:r>
        <w:rPr>
          <w:rFonts w:ascii="Calibri" w:eastAsia="Times New Roman" w:hAnsi="Calibri" w:cs="Arial"/>
          <w:lang w:eastAsia="en-US"/>
        </w:rPr>
        <w:t>9.5.3</w:t>
      </w:r>
      <w:r w:rsidR="00206EF2">
        <w:rPr>
          <w:rFonts w:ascii="Calibri" w:eastAsia="Times New Roman" w:hAnsi="Calibri" w:cs="Arial"/>
          <w:lang w:eastAsia="en-US"/>
        </w:rPr>
        <w:tab/>
      </w:r>
      <w:r w:rsidR="00270608" w:rsidRPr="00BF1551">
        <w:rPr>
          <w:rFonts w:eastAsia="Times New Roman" w:cstheme="minorHAnsi"/>
          <w:lang w:eastAsia="en-US"/>
        </w:rPr>
        <w:t>Students who have completed study for reasons approved by the</w:t>
      </w:r>
      <w:r w:rsidR="00206EF2">
        <w:rPr>
          <w:rFonts w:eastAsia="Times New Roman" w:cstheme="minorHAnsi"/>
          <w:lang w:eastAsia="en-US"/>
        </w:rPr>
        <w:t>ir college</w:t>
      </w:r>
      <w:r w:rsidR="00270608" w:rsidRPr="00BF1551">
        <w:rPr>
          <w:rFonts w:eastAsia="Times New Roman" w:cstheme="minorHAnsi"/>
          <w:lang w:eastAsia="en-US"/>
        </w:rPr>
        <w:t xml:space="preserve"> Learning and Teaching Board are issued with a Confirmation of At</w:t>
      </w:r>
      <w:r w:rsidR="00206EF2">
        <w:rPr>
          <w:rFonts w:eastAsia="Times New Roman" w:cstheme="minorHAnsi"/>
          <w:lang w:eastAsia="en-US"/>
        </w:rPr>
        <w:t>tainment of study to date. S</w:t>
      </w:r>
      <w:r w:rsidR="00270608" w:rsidRPr="00BF1551">
        <w:rPr>
          <w:rFonts w:eastAsia="Times New Roman" w:cstheme="minorHAnsi"/>
          <w:lang w:eastAsia="en-US"/>
        </w:rPr>
        <w:t xml:space="preserve">tudents who have not completed study for reasons not approved by the </w:t>
      </w:r>
      <w:r w:rsidR="00206EF2">
        <w:rPr>
          <w:rFonts w:eastAsia="Times New Roman" w:cstheme="minorHAnsi"/>
          <w:lang w:eastAsia="en-US"/>
        </w:rPr>
        <w:t xml:space="preserve">College </w:t>
      </w:r>
      <w:r w:rsidR="00270608" w:rsidRPr="00BF1551">
        <w:rPr>
          <w:rFonts w:eastAsia="Times New Roman" w:cstheme="minorHAnsi"/>
          <w:lang w:eastAsia="en-US"/>
        </w:rPr>
        <w:t>Learning and Teaching Board may request a transcript and under special request may be issued with a Confirmation of Attainment of study to date.</w:t>
      </w:r>
    </w:p>
    <w:p w:rsidR="00270608" w:rsidRDefault="00251151" w:rsidP="00251151">
      <w:pPr>
        <w:spacing w:after="0" w:line="240" w:lineRule="auto"/>
        <w:ind w:left="770" w:hanging="770"/>
        <w:contextualSpacing/>
        <w:jc w:val="both"/>
        <w:rPr>
          <w:rFonts w:ascii="Calibri" w:eastAsia="Times New Roman" w:hAnsi="Calibri" w:cs="Arial"/>
          <w:lang w:val="en-AU" w:eastAsia="en-AU"/>
        </w:rPr>
      </w:pPr>
      <w:r>
        <w:rPr>
          <w:rFonts w:ascii="Calibri" w:eastAsia="Times New Roman" w:hAnsi="Calibri" w:cs="Arial"/>
          <w:lang w:val="en-AU" w:eastAsia="en-AU"/>
        </w:rPr>
        <w:t>9.5.4</w:t>
      </w:r>
      <w:r>
        <w:rPr>
          <w:rFonts w:ascii="Calibri" w:eastAsia="Times New Roman" w:hAnsi="Calibri" w:cs="Arial"/>
          <w:lang w:val="en-AU" w:eastAsia="en-AU"/>
        </w:rPr>
        <w:tab/>
      </w:r>
      <w:r w:rsidR="00270608" w:rsidRPr="00BF1551">
        <w:rPr>
          <w:rFonts w:ascii="Calibri" w:eastAsia="Times New Roman" w:hAnsi="Calibri" w:cs="Arial"/>
          <w:lang w:val="en-AU" w:eastAsia="en-AU"/>
        </w:rPr>
        <w:t xml:space="preserve">Progression of a student from one stage to the next is approved initially by the Progression Board. </w:t>
      </w:r>
    </w:p>
    <w:p w:rsidR="00ED5BB3" w:rsidRDefault="00ED5BB3" w:rsidP="00206EF2">
      <w:pPr>
        <w:spacing w:after="0" w:line="240" w:lineRule="auto"/>
        <w:ind w:firstLine="720"/>
        <w:contextualSpacing/>
        <w:jc w:val="both"/>
        <w:rPr>
          <w:rFonts w:ascii="Calibri" w:eastAsia="Times New Roman" w:hAnsi="Calibri" w:cs="Arial"/>
          <w:lang w:val="en-AU" w:eastAsia="en-AU"/>
        </w:rPr>
      </w:pPr>
    </w:p>
    <w:p w:rsidR="00ED5BB3" w:rsidRDefault="00ED5BB3" w:rsidP="00206EF2">
      <w:pPr>
        <w:spacing w:after="0" w:line="240" w:lineRule="auto"/>
        <w:ind w:firstLine="720"/>
        <w:contextualSpacing/>
        <w:jc w:val="both"/>
        <w:rPr>
          <w:rFonts w:ascii="Calibri" w:eastAsia="Times New Roman" w:hAnsi="Calibri" w:cs="Arial"/>
          <w:lang w:val="en-AU" w:eastAsia="en-AU"/>
        </w:rPr>
      </w:pPr>
    </w:p>
    <w:p w:rsidR="00251151" w:rsidRDefault="00251151" w:rsidP="00206EF2">
      <w:pPr>
        <w:spacing w:after="0" w:line="240" w:lineRule="auto"/>
        <w:ind w:firstLine="720"/>
        <w:contextualSpacing/>
        <w:jc w:val="both"/>
        <w:rPr>
          <w:rFonts w:ascii="Calibri" w:eastAsia="Times New Roman" w:hAnsi="Calibri" w:cs="Arial"/>
          <w:lang w:val="en-AU" w:eastAsia="en-AU"/>
        </w:rPr>
      </w:pPr>
    </w:p>
    <w:p w:rsidR="00251151" w:rsidRDefault="00251151" w:rsidP="00206EF2">
      <w:pPr>
        <w:spacing w:after="0" w:line="240" w:lineRule="auto"/>
        <w:ind w:firstLine="720"/>
        <w:contextualSpacing/>
        <w:jc w:val="both"/>
        <w:rPr>
          <w:rFonts w:ascii="Calibri" w:eastAsia="Times New Roman" w:hAnsi="Calibri" w:cs="Arial"/>
          <w:lang w:val="en-AU" w:eastAsia="en-AU"/>
        </w:rPr>
      </w:pPr>
    </w:p>
    <w:p w:rsidR="00ED5BB3" w:rsidRDefault="00ED5BB3" w:rsidP="00ED5BB3">
      <w:pPr>
        <w:spacing w:after="0" w:line="240" w:lineRule="auto"/>
        <w:contextualSpacing/>
        <w:jc w:val="both"/>
        <w:rPr>
          <w:rFonts w:ascii="Calibri" w:eastAsia="Times New Roman" w:hAnsi="Calibri" w:cs="Arial"/>
          <w:lang w:val="en-AU" w:eastAsia="en-AU"/>
        </w:rPr>
      </w:pPr>
      <w:r>
        <w:rPr>
          <w:rFonts w:ascii="Calibri" w:eastAsia="Times New Roman" w:hAnsi="Calibri" w:cs="Arial"/>
          <w:b/>
          <w:lang w:val="en-AU" w:eastAsia="en-AU"/>
        </w:rPr>
        <w:t>10.</w:t>
      </w:r>
      <w:r>
        <w:rPr>
          <w:rFonts w:ascii="Calibri" w:eastAsia="Times New Roman" w:hAnsi="Calibri" w:cs="Arial"/>
          <w:b/>
          <w:lang w:val="en-AU" w:eastAsia="en-AU"/>
        </w:rPr>
        <w:tab/>
        <w:t>Academic Key Performance Indicators (KPIs)</w:t>
      </w:r>
    </w:p>
    <w:p w:rsidR="00ED5BB3" w:rsidRDefault="00ED5BB3" w:rsidP="00ED5BB3">
      <w:pPr>
        <w:spacing w:after="0" w:line="240" w:lineRule="auto"/>
        <w:contextualSpacing/>
        <w:jc w:val="both"/>
        <w:rPr>
          <w:rFonts w:ascii="Calibri" w:eastAsia="Times New Roman" w:hAnsi="Calibri" w:cs="Arial"/>
          <w:lang w:val="en-AU" w:eastAsia="en-AU"/>
        </w:rPr>
      </w:pPr>
    </w:p>
    <w:p w:rsidR="00ED5BB3" w:rsidRDefault="00D45442" w:rsidP="00D45442">
      <w:pPr>
        <w:spacing w:after="0" w:line="240" w:lineRule="auto"/>
        <w:ind w:left="770" w:hanging="770"/>
        <w:contextualSpacing/>
        <w:jc w:val="both"/>
        <w:rPr>
          <w:rFonts w:ascii="Calibri" w:eastAsia="Times New Roman" w:hAnsi="Calibri" w:cs="Arial"/>
          <w:lang w:val="en-AU" w:eastAsia="en-AU"/>
        </w:rPr>
      </w:pPr>
      <w:r>
        <w:rPr>
          <w:rFonts w:ascii="Calibri" w:eastAsia="Times New Roman" w:hAnsi="Calibri" w:cs="Arial"/>
          <w:lang w:val="en-AU" w:eastAsia="en-AU"/>
        </w:rPr>
        <w:t>10.1</w:t>
      </w:r>
      <w:r>
        <w:rPr>
          <w:rFonts w:ascii="Calibri" w:eastAsia="Times New Roman" w:hAnsi="Calibri" w:cs="Arial"/>
          <w:lang w:val="en-AU" w:eastAsia="en-AU"/>
        </w:rPr>
        <w:tab/>
      </w:r>
      <w:r w:rsidR="00ED5BB3">
        <w:rPr>
          <w:rFonts w:ascii="Calibri" w:eastAsia="Times New Roman" w:hAnsi="Calibri" w:cs="Arial"/>
          <w:lang w:val="en-AU" w:eastAsia="en-AU"/>
        </w:rPr>
        <w:t>Each College is accountable to Navitas for the quality and academic standards of its provision.  A set of KPIs is used to quantify College performance.  These measures are:</w:t>
      </w:r>
    </w:p>
    <w:p w:rsidR="000C4B5A" w:rsidRDefault="000C4B5A" w:rsidP="00D45442">
      <w:pPr>
        <w:spacing w:after="0" w:line="240" w:lineRule="auto"/>
        <w:ind w:left="770" w:hanging="770"/>
        <w:contextualSpacing/>
        <w:jc w:val="both"/>
        <w:rPr>
          <w:rFonts w:ascii="Calibri" w:eastAsia="Times New Roman" w:hAnsi="Calibri" w:cs="Arial"/>
          <w:lang w:val="en-AU" w:eastAsia="en-AU"/>
        </w:rPr>
      </w:pPr>
    </w:p>
    <w:p w:rsidR="00ED5BB3" w:rsidRPr="00251151" w:rsidRDefault="00ED5BB3" w:rsidP="00ED5BB3">
      <w:pPr>
        <w:pStyle w:val="ListParagraph"/>
        <w:numPr>
          <w:ilvl w:val="0"/>
          <w:numId w:val="44"/>
        </w:numPr>
        <w:jc w:val="both"/>
        <w:rPr>
          <w:rFonts w:ascii="Calibri" w:hAnsi="Calibri" w:cs="Arial"/>
          <w:sz w:val="22"/>
          <w:szCs w:val="22"/>
        </w:rPr>
      </w:pPr>
      <w:r w:rsidRPr="00251151">
        <w:rPr>
          <w:rFonts w:ascii="Calibri" w:hAnsi="Calibri" w:cs="Arial"/>
          <w:sz w:val="22"/>
          <w:szCs w:val="22"/>
        </w:rPr>
        <w:t>Pass Rates</w:t>
      </w:r>
    </w:p>
    <w:p w:rsidR="00ED5BB3" w:rsidRPr="00251151" w:rsidRDefault="00ED5BB3" w:rsidP="00ED5BB3">
      <w:pPr>
        <w:pStyle w:val="ListParagraph"/>
        <w:numPr>
          <w:ilvl w:val="0"/>
          <w:numId w:val="44"/>
        </w:numPr>
        <w:jc w:val="both"/>
        <w:rPr>
          <w:rFonts w:ascii="Calibri" w:hAnsi="Calibri" w:cs="Arial"/>
          <w:sz w:val="22"/>
          <w:szCs w:val="22"/>
        </w:rPr>
      </w:pPr>
      <w:r w:rsidRPr="00251151">
        <w:rPr>
          <w:rFonts w:ascii="Calibri" w:hAnsi="Calibri" w:cs="Arial"/>
          <w:sz w:val="22"/>
          <w:szCs w:val="22"/>
        </w:rPr>
        <w:t>Retention Rates</w:t>
      </w:r>
    </w:p>
    <w:p w:rsidR="00ED5BB3" w:rsidRPr="00251151" w:rsidRDefault="00ED5BB3" w:rsidP="00ED5BB3">
      <w:pPr>
        <w:pStyle w:val="ListParagraph"/>
        <w:numPr>
          <w:ilvl w:val="0"/>
          <w:numId w:val="44"/>
        </w:numPr>
        <w:jc w:val="both"/>
        <w:rPr>
          <w:rFonts w:ascii="Calibri" w:hAnsi="Calibri" w:cs="Arial"/>
          <w:sz w:val="22"/>
          <w:szCs w:val="22"/>
        </w:rPr>
      </w:pPr>
      <w:r w:rsidRPr="00251151">
        <w:rPr>
          <w:rFonts w:ascii="Calibri" w:hAnsi="Calibri" w:cs="Arial"/>
          <w:sz w:val="22"/>
          <w:szCs w:val="22"/>
        </w:rPr>
        <w:t>Progression Rates</w:t>
      </w:r>
    </w:p>
    <w:p w:rsidR="00ED5BB3" w:rsidRDefault="00ED5BB3" w:rsidP="00D45442">
      <w:pPr>
        <w:spacing w:after="0" w:line="240" w:lineRule="auto"/>
        <w:ind w:left="771"/>
        <w:jc w:val="both"/>
        <w:rPr>
          <w:rFonts w:ascii="Calibri" w:eastAsia="Times New Roman" w:hAnsi="Calibri" w:cs="Arial"/>
        </w:rPr>
      </w:pPr>
    </w:p>
    <w:p w:rsidR="00D45442" w:rsidRDefault="00D45442" w:rsidP="00D45442">
      <w:pPr>
        <w:spacing w:after="0" w:line="240" w:lineRule="auto"/>
        <w:ind w:left="771" w:hanging="771"/>
        <w:jc w:val="both"/>
        <w:rPr>
          <w:rFonts w:ascii="Calibri" w:eastAsia="Times New Roman" w:hAnsi="Calibri" w:cs="Arial"/>
        </w:rPr>
      </w:pPr>
      <w:r>
        <w:rPr>
          <w:rFonts w:ascii="Calibri" w:eastAsia="Times New Roman" w:hAnsi="Calibri" w:cs="Arial"/>
        </w:rPr>
        <w:t>10.2</w:t>
      </w:r>
      <w:r>
        <w:rPr>
          <w:rFonts w:ascii="Calibri" w:eastAsia="Times New Roman" w:hAnsi="Calibri" w:cs="Arial"/>
        </w:rPr>
        <w:tab/>
        <w:t>Each College reports on these measures for every module each semester.  The results are also reported to Navitas Global.</w:t>
      </w:r>
    </w:p>
    <w:p w:rsidR="00D45442" w:rsidRPr="00ED5BB3" w:rsidRDefault="00D45442" w:rsidP="00D45442">
      <w:pPr>
        <w:spacing w:after="0" w:line="240" w:lineRule="auto"/>
        <w:ind w:left="771"/>
        <w:jc w:val="both"/>
        <w:rPr>
          <w:rFonts w:ascii="Calibri" w:eastAsia="Times New Roman" w:hAnsi="Calibri" w:cs="Arial"/>
        </w:rPr>
      </w:pPr>
    </w:p>
    <w:p w:rsidR="00251151" w:rsidRDefault="00251151" w:rsidP="00480434">
      <w:pPr>
        <w:spacing w:after="0" w:line="240" w:lineRule="auto"/>
        <w:ind w:left="770" w:hanging="770"/>
        <w:jc w:val="both"/>
        <w:rPr>
          <w:b/>
          <w:sz w:val="24"/>
          <w:szCs w:val="24"/>
        </w:rPr>
      </w:pPr>
    </w:p>
    <w:p w:rsidR="00251151" w:rsidRDefault="00251151" w:rsidP="00480434">
      <w:pPr>
        <w:spacing w:after="0" w:line="240" w:lineRule="auto"/>
        <w:ind w:left="770" w:hanging="770"/>
        <w:jc w:val="both"/>
        <w:rPr>
          <w:b/>
          <w:sz w:val="24"/>
          <w:szCs w:val="24"/>
        </w:rPr>
      </w:pPr>
    </w:p>
    <w:p w:rsidR="005F1962" w:rsidRPr="00A3510B" w:rsidRDefault="00480434" w:rsidP="00480434">
      <w:pPr>
        <w:spacing w:after="0" w:line="240" w:lineRule="auto"/>
        <w:ind w:left="770" w:hanging="770"/>
        <w:jc w:val="both"/>
        <w:rPr>
          <w:b/>
          <w:sz w:val="24"/>
          <w:szCs w:val="24"/>
        </w:rPr>
      </w:pPr>
      <w:r>
        <w:rPr>
          <w:b/>
          <w:sz w:val="24"/>
          <w:szCs w:val="24"/>
        </w:rPr>
        <w:t>11.</w:t>
      </w:r>
      <w:r>
        <w:rPr>
          <w:b/>
          <w:sz w:val="24"/>
          <w:szCs w:val="24"/>
        </w:rPr>
        <w:tab/>
      </w:r>
      <w:r w:rsidR="0079470F">
        <w:rPr>
          <w:b/>
          <w:sz w:val="24"/>
          <w:szCs w:val="24"/>
        </w:rPr>
        <w:t>Navitas</w:t>
      </w:r>
      <w:r w:rsidR="005F1962">
        <w:rPr>
          <w:b/>
          <w:sz w:val="24"/>
          <w:szCs w:val="24"/>
        </w:rPr>
        <w:t xml:space="preserve"> Policies and Regulations</w:t>
      </w:r>
      <w:r w:rsidR="00251151">
        <w:rPr>
          <w:b/>
          <w:sz w:val="24"/>
          <w:szCs w:val="24"/>
        </w:rPr>
        <w:t xml:space="preserve"> (NPRs)</w:t>
      </w:r>
    </w:p>
    <w:p w:rsidR="005F1962" w:rsidRDefault="005F1962" w:rsidP="00861591">
      <w:pPr>
        <w:spacing w:after="0" w:line="240" w:lineRule="auto"/>
        <w:jc w:val="both"/>
        <w:rPr>
          <w:rFonts w:ascii="Calibri" w:hAnsi="Calibri" w:cs="Arial"/>
        </w:rPr>
      </w:pPr>
    </w:p>
    <w:p w:rsidR="009E73A9" w:rsidRPr="00480434" w:rsidRDefault="005F1962" w:rsidP="00861591">
      <w:pPr>
        <w:spacing w:after="0" w:line="240" w:lineRule="auto"/>
        <w:jc w:val="both"/>
      </w:pPr>
      <w:r w:rsidRPr="00480434">
        <w:rPr>
          <w:rFonts w:ascii="Calibri" w:hAnsi="Calibri" w:cs="Arial"/>
        </w:rPr>
        <w:t>1</w:t>
      </w:r>
      <w:r w:rsidR="00480434" w:rsidRPr="00480434">
        <w:rPr>
          <w:rFonts w:ascii="Calibri" w:hAnsi="Calibri" w:cs="Arial"/>
        </w:rPr>
        <w:t>1.1</w:t>
      </w:r>
      <w:r w:rsidR="00920D9B" w:rsidRPr="00480434">
        <w:rPr>
          <w:rFonts w:ascii="Calibri" w:hAnsi="Calibri" w:cs="Arial"/>
        </w:rPr>
        <w:tab/>
      </w:r>
      <w:r w:rsidRPr="00480434">
        <w:t>Summary</w:t>
      </w:r>
    </w:p>
    <w:p w:rsidR="005E06C4" w:rsidRDefault="005E06C4" w:rsidP="00861591">
      <w:pPr>
        <w:spacing w:after="0" w:line="240" w:lineRule="auto"/>
        <w:jc w:val="both"/>
      </w:pPr>
    </w:p>
    <w:p w:rsidR="005F1962" w:rsidRDefault="00251151" w:rsidP="005F1962">
      <w:pPr>
        <w:shd w:val="clear" w:color="auto" w:fill="FFFFFF"/>
        <w:spacing w:after="0" w:line="240" w:lineRule="auto"/>
        <w:ind w:left="720" w:right="238" w:hanging="720"/>
        <w:jc w:val="both"/>
        <w:rPr>
          <w:rFonts w:cstheme="minorHAnsi"/>
          <w:color w:val="000000"/>
        </w:rPr>
      </w:pPr>
      <w:r>
        <w:rPr>
          <w:rFonts w:cstheme="minorHAnsi"/>
          <w:color w:val="000000"/>
        </w:rPr>
        <w:t>11.1.1</w:t>
      </w:r>
      <w:r w:rsidR="005F1962">
        <w:rPr>
          <w:rFonts w:cstheme="minorHAnsi"/>
          <w:color w:val="000000"/>
        </w:rPr>
        <w:tab/>
      </w:r>
      <w:r w:rsidR="0079470F">
        <w:rPr>
          <w:rFonts w:cstheme="minorHAnsi"/>
          <w:color w:val="000000"/>
        </w:rPr>
        <w:t>N</w:t>
      </w:r>
      <w:r w:rsidR="00133A0B" w:rsidRPr="005F1962">
        <w:rPr>
          <w:rFonts w:cstheme="minorHAnsi"/>
          <w:color w:val="000000"/>
        </w:rPr>
        <w:t xml:space="preserve">PRs </w:t>
      </w:r>
      <w:r w:rsidR="00206EF2">
        <w:rPr>
          <w:rFonts w:cstheme="minorHAnsi"/>
          <w:color w:val="000000"/>
        </w:rPr>
        <w:t>provide the detailed polici</w:t>
      </w:r>
      <w:r>
        <w:rPr>
          <w:rFonts w:cstheme="minorHAnsi"/>
          <w:color w:val="000000"/>
        </w:rPr>
        <w:t>es and procedures which are designed to assure the quality of the student experience and academic standards.  They apply to all colleges in the Navitas network.</w:t>
      </w:r>
    </w:p>
    <w:p w:rsidR="009E73A9" w:rsidRDefault="00251151" w:rsidP="00251151">
      <w:pPr>
        <w:shd w:val="clear" w:color="auto" w:fill="FFFFFF"/>
        <w:spacing w:after="0" w:line="240" w:lineRule="auto"/>
        <w:ind w:left="720" w:right="238" w:hanging="720"/>
        <w:jc w:val="both"/>
        <w:rPr>
          <w:rFonts w:cstheme="minorHAnsi"/>
          <w:color w:val="000000"/>
        </w:rPr>
      </w:pPr>
      <w:r>
        <w:rPr>
          <w:rFonts w:cstheme="minorHAnsi"/>
          <w:color w:val="000000"/>
        </w:rPr>
        <w:t>11.1.2</w:t>
      </w:r>
      <w:r>
        <w:rPr>
          <w:rFonts w:cstheme="minorHAnsi"/>
          <w:color w:val="000000"/>
        </w:rPr>
        <w:tab/>
      </w:r>
      <w:r w:rsidR="00206EF2">
        <w:rPr>
          <w:rFonts w:cstheme="minorHAnsi"/>
          <w:color w:val="000000"/>
        </w:rPr>
        <w:t>N</w:t>
      </w:r>
      <w:r w:rsidR="00626346">
        <w:rPr>
          <w:rFonts w:cstheme="minorHAnsi"/>
          <w:color w:val="000000"/>
        </w:rPr>
        <w:t xml:space="preserve">PRs are created as standalone documents that are </w:t>
      </w:r>
      <w:r w:rsidR="005F1962" w:rsidRPr="005F1962">
        <w:rPr>
          <w:rFonts w:cstheme="minorHAnsi"/>
          <w:color w:val="000000"/>
        </w:rPr>
        <w:t>located in separ</w:t>
      </w:r>
      <w:r>
        <w:rPr>
          <w:rFonts w:cstheme="minorHAnsi"/>
          <w:color w:val="000000"/>
        </w:rPr>
        <w:t>ate files</w:t>
      </w:r>
      <w:r w:rsidR="00626346">
        <w:rPr>
          <w:rFonts w:cstheme="minorHAnsi"/>
          <w:color w:val="000000"/>
        </w:rPr>
        <w:t xml:space="preserve">. </w:t>
      </w:r>
      <w:r>
        <w:rPr>
          <w:rFonts w:cstheme="minorHAnsi"/>
          <w:color w:val="000000"/>
        </w:rPr>
        <w:t xml:space="preserve"> </w:t>
      </w:r>
      <w:r w:rsidR="00206EF2">
        <w:rPr>
          <w:rFonts w:cstheme="minorHAnsi"/>
          <w:color w:val="000000"/>
        </w:rPr>
        <w:t xml:space="preserve">There are two groups of NPRs: those which </w:t>
      </w:r>
      <w:r w:rsidR="001503D4">
        <w:rPr>
          <w:rFonts w:cstheme="minorHAnsi"/>
          <w:color w:val="000000"/>
        </w:rPr>
        <w:t>are concerned</w:t>
      </w:r>
      <w:r w:rsidR="00206EF2">
        <w:rPr>
          <w:rFonts w:cstheme="minorHAnsi"/>
          <w:color w:val="000000"/>
        </w:rPr>
        <w:t xml:space="preserve"> directly </w:t>
      </w:r>
      <w:r w:rsidR="001503D4">
        <w:rPr>
          <w:rFonts w:cstheme="minorHAnsi"/>
          <w:color w:val="000000"/>
        </w:rPr>
        <w:t>with</w:t>
      </w:r>
      <w:r w:rsidR="00206EF2">
        <w:rPr>
          <w:rFonts w:cstheme="minorHAnsi"/>
          <w:color w:val="000000"/>
        </w:rPr>
        <w:t xml:space="preserve"> the assurance of academic standards and quality, and those which </w:t>
      </w:r>
      <w:r w:rsidR="001503D4">
        <w:rPr>
          <w:rFonts w:cstheme="minorHAnsi"/>
          <w:color w:val="000000"/>
        </w:rPr>
        <w:t xml:space="preserve">have a management/operational function, but relate to quality assurance. </w:t>
      </w:r>
    </w:p>
    <w:p w:rsidR="001503D4" w:rsidRDefault="001503D4" w:rsidP="001503D4">
      <w:pPr>
        <w:shd w:val="clear" w:color="auto" w:fill="FFFFFF"/>
        <w:spacing w:after="0" w:line="240" w:lineRule="auto"/>
        <w:ind w:left="720" w:right="238"/>
        <w:jc w:val="both"/>
        <w:rPr>
          <w:rFonts w:cstheme="minorHAnsi"/>
          <w:color w:val="000000"/>
        </w:rPr>
      </w:pPr>
    </w:p>
    <w:p w:rsidR="001503D4" w:rsidRDefault="00251151" w:rsidP="001503D4">
      <w:pPr>
        <w:shd w:val="clear" w:color="auto" w:fill="FFFFFF"/>
        <w:spacing w:after="0" w:line="240" w:lineRule="auto"/>
        <w:ind w:left="720" w:right="238" w:hanging="720"/>
        <w:jc w:val="both"/>
        <w:rPr>
          <w:rFonts w:cstheme="minorHAnsi"/>
          <w:color w:val="000000"/>
        </w:rPr>
      </w:pPr>
      <w:r>
        <w:rPr>
          <w:rFonts w:cstheme="minorHAnsi"/>
          <w:color w:val="000000"/>
        </w:rPr>
        <w:t>11.</w:t>
      </w:r>
      <w:r w:rsidR="001503D4">
        <w:rPr>
          <w:rFonts w:cstheme="minorHAnsi"/>
          <w:color w:val="000000"/>
        </w:rPr>
        <w:t>2</w:t>
      </w:r>
      <w:r w:rsidR="001503D4">
        <w:rPr>
          <w:rFonts w:cstheme="minorHAnsi"/>
          <w:color w:val="000000"/>
        </w:rPr>
        <w:tab/>
        <w:t>NPRs for Standards and Quality</w:t>
      </w:r>
    </w:p>
    <w:p w:rsidR="001503D4" w:rsidRDefault="001503D4" w:rsidP="001503D4">
      <w:pPr>
        <w:shd w:val="clear" w:color="auto" w:fill="FFFFFF"/>
        <w:spacing w:after="0" w:line="240" w:lineRule="auto"/>
        <w:ind w:left="720" w:right="238" w:hanging="720"/>
        <w:jc w:val="both"/>
        <w:rPr>
          <w:rFonts w:cstheme="minorHAnsi"/>
          <w:color w:val="000000"/>
        </w:rPr>
      </w:pPr>
      <w:r>
        <w:rPr>
          <w:rFonts w:cstheme="minorHAnsi"/>
          <w:color w:val="000000"/>
        </w:rPr>
        <w:tab/>
        <w:t xml:space="preserve">NPR QS1: </w:t>
      </w:r>
      <w:r w:rsidR="009F3796">
        <w:rPr>
          <w:rFonts w:cstheme="minorHAnsi"/>
          <w:color w:val="000000"/>
        </w:rPr>
        <w:t xml:space="preserve">  </w:t>
      </w:r>
      <w:r>
        <w:rPr>
          <w:rFonts w:cstheme="minorHAnsi"/>
          <w:color w:val="000000"/>
        </w:rPr>
        <w:t>Programme Approval and Review</w:t>
      </w:r>
    </w:p>
    <w:p w:rsidR="001503D4" w:rsidRDefault="001503D4" w:rsidP="001503D4">
      <w:pPr>
        <w:shd w:val="clear" w:color="auto" w:fill="FFFFFF"/>
        <w:spacing w:after="0" w:line="240" w:lineRule="auto"/>
        <w:ind w:left="720" w:right="238" w:hanging="720"/>
        <w:jc w:val="both"/>
        <w:rPr>
          <w:rFonts w:cstheme="minorHAnsi"/>
          <w:color w:val="000000"/>
        </w:rPr>
      </w:pPr>
      <w:r>
        <w:rPr>
          <w:rFonts w:cstheme="minorHAnsi"/>
          <w:color w:val="000000"/>
        </w:rPr>
        <w:tab/>
        <w:t xml:space="preserve">NPR QS2: </w:t>
      </w:r>
      <w:r w:rsidR="009F3796">
        <w:rPr>
          <w:rFonts w:cstheme="minorHAnsi"/>
          <w:color w:val="000000"/>
        </w:rPr>
        <w:t xml:space="preserve">  </w:t>
      </w:r>
      <w:r>
        <w:rPr>
          <w:rFonts w:cstheme="minorHAnsi"/>
          <w:color w:val="000000"/>
        </w:rPr>
        <w:t>Programme Monitoring</w:t>
      </w:r>
    </w:p>
    <w:p w:rsidR="001503D4" w:rsidRDefault="001503D4" w:rsidP="001503D4">
      <w:pPr>
        <w:shd w:val="clear" w:color="auto" w:fill="FFFFFF"/>
        <w:spacing w:after="0" w:line="240" w:lineRule="auto"/>
        <w:ind w:left="720" w:right="238" w:hanging="720"/>
        <w:jc w:val="both"/>
        <w:rPr>
          <w:rFonts w:cstheme="minorHAnsi"/>
          <w:color w:val="000000"/>
        </w:rPr>
      </w:pPr>
      <w:r>
        <w:rPr>
          <w:rFonts w:cstheme="minorHAnsi"/>
          <w:color w:val="000000"/>
        </w:rPr>
        <w:tab/>
        <w:t xml:space="preserve">NPR QS3: </w:t>
      </w:r>
      <w:r w:rsidR="009F3796">
        <w:rPr>
          <w:rFonts w:cstheme="minorHAnsi"/>
          <w:color w:val="000000"/>
        </w:rPr>
        <w:t xml:space="preserve">  </w:t>
      </w:r>
      <w:r>
        <w:rPr>
          <w:rFonts w:cstheme="minorHAnsi"/>
          <w:color w:val="000000"/>
        </w:rPr>
        <w:t>Admissions and Recruitment</w:t>
      </w:r>
    </w:p>
    <w:p w:rsidR="001503D4" w:rsidRDefault="001503D4" w:rsidP="001503D4">
      <w:pPr>
        <w:shd w:val="clear" w:color="auto" w:fill="FFFFFF"/>
        <w:spacing w:after="0" w:line="240" w:lineRule="auto"/>
        <w:ind w:left="720" w:right="238" w:hanging="720"/>
        <w:jc w:val="both"/>
        <w:rPr>
          <w:rFonts w:cstheme="minorHAnsi"/>
          <w:color w:val="000000"/>
        </w:rPr>
      </w:pPr>
      <w:r>
        <w:rPr>
          <w:rFonts w:cstheme="minorHAnsi"/>
          <w:color w:val="000000"/>
        </w:rPr>
        <w:tab/>
        <w:t xml:space="preserve">NPR QS4: </w:t>
      </w:r>
      <w:r w:rsidR="009F3796">
        <w:rPr>
          <w:rFonts w:cstheme="minorHAnsi"/>
          <w:color w:val="000000"/>
        </w:rPr>
        <w:t xml:space="preserve">  </w:t>
      </w:r>
      <w:r>
        <w:rPr>
          <w:rFonts w:cstheme="minorHAnsi"/>
          <w:color w:val="000000"/>
        </w:rPr>
        <w:t xml:space="preserve">Learning and </w:t>
      </w:r>
      <w:r w:rsidR="005065BB">
        <w:rPr>
          <w:rFonts w:cstheme="minorHAnsi"/>
          <w:color w:val="000000"/>
        </w:rPr>
        <w:t>T</w:t>
      </w:r>
      <w:r>
        <w:rPr>
          <w:rFonts w:cstheme="minorHAnsi"/>
          <w:color w:val="000000"/>
        </w:rPr>
        <w:t>eaching</w:t>
      </w:r>
    </w:p>
    <w:p w:rsidR="001503D4" w:rsidRDefault="001503D4" w:rsidP="001503D4">
      <w:pPr>
        <w:shd w:val="clear" w:color="auto" w:fill="FFFFFF"/>
        <w:spacing w:after="0" w:line="240" w:lineRule="auto"/>
        <w:ind w:left="720" w:right="238" w:hanging="720"/>
        <w:jc w:val="both"/>
        <w:rPr>
          <w:rFonts w:cstheme="minorHAnsi"/>
          <w:color w:val="000000"/>
        </w:rPr>
      </w:pPr>
      <w:r>
        <w:rPr>
          <w:rFonts w:cstheme="minorHAnsi"/>
          <w:color w:val="000000"/>
        </w:rPr>
        <w:tab/>
        <w:t xml:space="preserve">NPR QS5: </w:t>
      </w:r>
      <w:r w:rsidR="009F3796">
        <w:rPr>
          <w:rFonts w:cstheme="minorHAnsi"/>
          <w:color w:val="000000"/>
        </w:rPr>
        <w:t xml:space="preserve">  </w:t>
      </w:r>
      <w:r>
        <w:rPr>
          <w:rFonts w:cstheme="minorHAnsi"/>
          <w:color w:val="000000"/>
        </w:rPr>
        <w:t>Teaching Observation</w:t>
      </w:r>
    </w:p>
    <w:p w:rsidR="001503D4" w:rsidRDefault="001503D4" w:rsidP="001503D4">
      <w:pPr>
        <w:shd w:val="clear" w:color="auto" w:fill="FFFFFF"/>
        <w:spacing w:after="0" w:line="240" w:lineRule="auto"/>
        <w:ind w:left="720" w:right="238" w:hanging="720"/>
        <w:jc w:val="both"/>
        <w:rPr>
          <w:rFonts w:cstheme="minorHAnsi"/>
          <w:color w:val="000000"/>
        </w:rPr>
      </w:pPr>
      <w:r>
        <w:rPr>
          <w:rFonts w:cstheme="minorHAnsi"/>
          <w:color w:val="000000"/>
        </w:rPr>
        <w:lastRenderedPageBreak/>
        <w:tab/>
        <w:t xml:space="preserve">NPR QS6: </w:t>
      </w:r>
      <w:r w:rsidR="009F3796">
        <w:rPr>
          <w:rFonts w:cstheme="minorHAnsi"/>
          <w:color w:val="000000"/>
        </w:rPr>
        <w:t xml:space="preserve">  </w:t>
      </w:r>
      <w:r>
        <w:rPr>
          <w:rFonts w:cstheme="minorHAnsi"/>
          <w:color w:val="000000"/>
        </w:rPr>
        <w:t>Enhancement</w:t>
      </w:r>
    </w:p>
    <w:p w:rsidR="001503D4" w:rsidRDefault="001503D4" w:rsidP="001503D4">
      <w:pPr>
        <w:shd w:val="clear" w:color="auto" w:fill="FFFFFF"/>
        <w:spacing w:after="0" w:line="240" w:lineRule="auto"/>
        <w:ind w:left="720" w:right="238"/>
        <w:jc w:val="both"/>
        <w:rPr>
          <w:rFonts w:cstheme="minorHAnsi"/>
          <w:color w:val="000000"/>
        </w:rPr>
      </w:pPr>
      <w:r>
        <w:rPr>
          <w:rFonts w:cstheme="minorHAnsi"/>
          <w:color w:val="000000"/>
        </w:rPr>
        <w:t xml:space="preserve">NPR QS7: </w:t>
      </w:r>
      <w:r w:rsidR="009F3796">
        <w:rPr>
          <w:rFonts w:cstheme="minorHAnsi"/>
          <w:color w:val="000000"/>
        </w:rPr>
        <w:t xml:space="preserve">  </w:t>
      </w:r>
      <w:r>
        <w:rPr>
          <w:rFonts w:cstheme="minorHAnsi"/>
          <w:color w:val="000000"/>
        </w:rPr>
        <w:t>Student Support</w:t>
      </w:r>
    </w:p>
    <w:p w:rsidR="001503D4" w:rsidRDefault="001503D4" w:rsidP="001503D4">
      <w:pPr>
        <w:shd w:val="clear" w:color="auto" w:fill="FFFFFF"/>
        <w:spacing w:after="0" w:line="240" w:lineRule="auto"/>
        <w:ind w:left="720" w:right="238"/>
        <w:jc w:val="both"/>
        <w:rPr>
          <w:rFonts w:cstheme="minorHAnsi"/>
          <w:color w:val="000000"/>
        </w:rPr>
      </w:pPr>
      <w:r>
        <w:rPr>
          <w:rFonts w:cstheme="minorHAnsi"/>
          <w:color w:val="000000"/>
        </w:rPr>
        <w:t xml:space="preserve">NPR QS8: </w:t>
      </w:r>
      <w:r w:rsidR="009F3796">
        <w:rPr>
          <w:rFonts w:cstheme="minorHAnsi"/>
          <w:color w:val="000000"/>
        </w:rPr>
        <w:t xml:space="preserve">  </w:t>
      </w:r>
      <w:r>
        <w:rPr>
          <w:rFonts w:cstheme="minorHAnsi"/>
          <w:color w:val="000000"/>
        </w:rPr>
        <w:t>Student Engagement</w:t>
      </w:r>
    </w:p>
    <w:p w:rsidR="001503D4" w:rsidRDefault="001503D4" w:rsidP="001503D4">
      <w:pPr>
        <w:shd w:val="clear" w:color="auto" w:fill="FFFFFF"/>
        <w:spacing w:after="0" w:line="240" w:lineRule="auto"/>
        <w:ind w:left="720" w:right="238"/>
        <w:jc w:val="both"/>
        <w:rPr>
          <w:rFonts w:cstheme="minorHAnsi"/>
          <w:color w:val="000000"/>
        </w:rPr>
      </w:pPr>
      <w:r>
        <w:rPr>
          <w:rFonts w:cstheme="minorHAnsi"/>
          <w:color w:val="000000"/>
        </w:rPr>
        <w:t xml:space="preserve">NPR QS9: </w:t>
      </w:r>
      <w:r w:rsidR="009F3796">
        <w:rPr>
          <w:rFonts w:cstheme="minorHAnsi"/>
          <w:color w:val="000000"/>
        </w:rPr>
        <w:t xml:space="preserve">  </w:t>
      </w:r>
      <w:r>
        <w:rPr>
          <w:rFonts w:cstheme="minorHAnsi"/>
          <w:color w:val="000000"/>
        </w:rPr>
        <w:t>Assessment</w:t>
      </w:r>
    </w:p>
    <w:p w:rsidR="001503D4" w:rsidRDefault="001503D4" w:rsidP="001503D4">
      <w:pPr>
        <w:shd w:val="clear" w:color="auto" w:fill="FFFFFF"/>
        <w:spacing w:after="0" w:line="240" w:lineRule="auto"/>
        <w:ind w:left="720" w:right="238"/>
        <w:jc w:val="both"/>
        <w:rPr>
          <w:rFonts w:cstheme="minorHAnsi"/>
          <w:color w:val="000000"/>
        </w:rPr>
      </w:pPr>
      <w:r>
        <w:rPr>
          <w:rFonts w:cstheme="minorHAnsi"/>
          <w:color w:val="000000"/>
        </w:rPr>
        <w:t xml:space="preserve">NPR QS10: Student Appeals and </w:t>
      </w:r>
      <w:r w:rsidR="005065BB">
        <w:rPr>
          <w:rFonts w:cstheme="minorHAnsi"/>
          <w:color w:val="000000"/>
        </w:rPr>
        <w:t>G</w:t>
      </w:r>
      <w:r>
        <w:rPr>
          <w:rFonts w:cstheme="minorHAnsi"/>
          <w:color w:val="000000"/>
        </w:rPr>
        <w:t>rievances</w:t>
      </w:r>
    </w:p>
    <w:p w:rsidR="005065BB" w:rsidRDefault="00DB4993" w:rsidP="001503D4">
      <w:pPr>
        <w:shd w:val="clear" w:color="auto" w:fill="FFFFFF"/>
        <w:spacing w:after="0" w:line="240" w:lineRule="auto"/>
        <w:ind w:left="720" w:right="238"/>
        <w:jc w:val="both"/>
        <w:rPr>
          <w:rFonts w:cstheme="minorHAnsi"/>
          <w:color w:val="000000"/>
        </w:rPr>
      </w:pPr>
      <w:r>
        <w:rPr>
          <w:rFonts w:cstheme="minorHAnsi"/>
          <w:color w:val="000000"/>
        </w:rPr>
        <w:t>NPR QS11: Student Disciplinary</w:t>
      </w:r>
    </w:p>
    <w:p w:rsidR="001503D4" w:rsidRDefault="001503D4" w:rsidP="001503D4">
      <w:pPr>
        <w:shd w:val="clear" w:color="auto" w:fill="FFFFFF"/>
        <w:spacing w:after="0" w:line="240" w:lineRule="auto"/>
        <w:ind w:left="720" w:right="238"/>
        <w:jc w:val="both"/>
        <w:rPr>
          <w:rFonts w:cstheme="minorHAnsi"/>
          <w:color w:val="000000"/>
        </w:rPr>
      </w:pPr>
    </w:p>
    <w:p w:rsidR="001503D4" w:rsidRDefault="00251151" w:rsidP="001503D4">
      <w:pPr>
        <w:shd w:val="clear" w:color="auto" w:fill="FFFFFF"/>
        <w:spacing w:after="0" w:line="240" w:lineRule="auto"/>
        <w:ind w:left="720" w:right="238" w:hanging="720"/>
        <w:jc w:val="both"/>
        <w:rPr>
          <w:rFonts w:cstheme="minorHAnsi"/>
          <w:color w:val="000000"/>
        </w:rPr>
      </w:pPr>
      <w:r>
        <w:rPr>
          <w:rFonts w:cstheme="minorHAnsi"/>
          <w:color w:val="000000"/>
        </w:rPr>
        <w:t>11.</w:t>
      </w:r>
      <w:r w:rsidR="001503D4">
        <w:rPr>
          <w:rFonts w:cstheme="minorHAnsi"/>
          <w:color w:val="000000"/>
        </w:rPr>
        <w:t>3.</w:t>
      </w:r>
      <w:r w:rsidR="001503D4">
        <w:rPr>
          <w:rFonts w:cstheme="minorHAnsi"/>
          <w:color w:val="000000"/>
        </w:rPr>
        <w:tab/>
        <w:t>Management/Operational NPRs</w:t>
      </w:r>
    </w:p>
    <w:p w:rsidR="001503D4" w:rsidRDefault="001503D4" w:rsidP="001503D4">
      <w:pPr>
        <w:shd w:val="clear" w:color="auto" w:fill="FFFFFF"/>
        <w:spacing w:after="0" w:line="240" w:lineRule="auto"/>
        <w:ind w:left="720" w:right="238" w:hanging="720"/>
        <w:jc w:val="both"/>
        <w:rPr>
          <w:rFonts w:cstheme="minorHAnsi"/>
          <w:color w:val="000000"/>
        </w:rPr>
      </w:pPr>
      <w:r>
        <w:rPr>
          <w:rFonts w:cstheme="minorHAnsi"/>
          <w:color w:val="000000"/>
        </w:rPr>
        <w:tab/>
        <w:t xml:space="preserve">NPR M1: </w:t>
      </w:r>
      <w:r w:rsidR="009F3796">
        <w:rPr>
          <w:rFonts w:cstheme="minorHAnsi"/>
          <w:color w:val="000000"/>
        </w:rPr>
        <w:t xml:space="preserve"> </w:t>
      </w:r>
      <w:r>
        <w:rPr>
          <w:rFonts w:cstheme="minorHAnsi"/>
          <w:color w:val="000000"/>
        </w:rPr>
        <w:t>Students under Eighteen</w:t>
      </w:r>
    </w:p>
    <w:p w:rsidR="001503D4" w:rsidRDefault="001503D4" w:rsidP="001503D4">
      <w:pPr>
        <w:shd w:val="clear" w:color="auto" w:fill="FFFFFF"/>
        <w:spacing w:after="0" w:line="240" w:lineRule="auto"/>
        <w:ind w:left="720" w:right="238" w:hanging="720"/>
        <w:jc w:val="both"/>
        <w:rPr>
          <w:rFonts w:cstheme="minorHAnsi"/>
          <w:color w:val="000000"/>
        </w:rPr>
      </w:pPr>
      <w:r>
        <w:rPr>
          <w:rFonts w:cstheme="minorHAnsi"/>
          <w:color w:val="000000"/>
        </w:rPr>
        <w:tab/>
        <w:t xml:space="preserve">NPR M2: </w:t>
      </w:r>
      <w:r w:rsidR="009F3796">
        <w:rPr>
          <w:rFonts w:cstheme="minorHAnsi"/>
          <w:color w:val="000000"/>
        </w:rPr>
        <w:t xml:space="preserve"> </w:t>
      </w:r>
      <w:r>
        <w:rPr>
          <w:rFonts w:cstheme="minorHAnsi"/>
          <w:color w:val="000000"/>
        </w:rPr>
        <w:t>Data protection</w:t>
      </w:r>
    </w:p>
    <w:p w:rsidR="001503D4" w:rsidRDefault="001503D4" w:rsidP="001503D4">
      <w:pPr>
        <w:shd w:val="clear" w:color="auto" w:fill="FFFFFF"/>
        <w:spacing w:after="0" w:line="240" w:lineRule="auto"/>
        <w:ind w:left="720" w:right="238" w:hanging="720"/>
        <w:jc w:val="both"/>
        <w:rPr>
          <w:rFonts w:cstheme="minorHAnsi"/>
          <w:color w:val="000000"/>
        </w:rPr>
      </w:pPr>
      <w:r>
        <w:rPr>
          <w:rFonts w:cstheme="minorHAnsi"/>
          <w:color w:val="000000"/>
        </w:rPr>
        <w:tab/>
        <w:t xml:space="preserve">NPR M3: </w:t>
      </w:r>
      <w:r w:rsidR="009F3796">
        <w:rPr>
          <w:rFonts w:cstheme="minorHAnsi"/>
          <w:color w:val="000000"/>
        </w:rPr>
        <w:t xml:space="preserve"> </w:t>
      </w:r>
      <w:r>
        <w:rPr>
          <w:rFonts w:cstheme="minorHAnsi"/>
          <w:color w:val="000000"/>
        </w:rPr>
        <w:t>Attendance</w:t>
      </w:r>
    </w:p>
    <w:p w:rsidR="001503D4" w:rsidRDefault="001503D4" w:rsidP="001503D4">
      <w:pPr>
        <w:shd w:val="clear" w:color="auto" w:fill="FFFFFF"/>
        <w:spacing w:after="0" w:line="240" w:lineRule="auto"/>
        <w:ind w:left="720" w:right="238" w:hanging="720"/>
        <w:jc w:val="both"/>
        <w:rPr>
          <w:rFonts w:cstheme="minorHAnsi"/>
          <w:color w:val="000000"/>
        </w:rPr>
      </w:pPr>
      <w:r>
        <w:rPr>
          <w:rFonts w:cstheme="minorHAnsi"/>
          <w:color w:val="000000"/>
        </w:rPr>
        <w:tab/>
        <w:t xml:space="preserve">NPR M4: </w:t>
      </w:r>
      <w:r w:rsidR="009F3796">
        <w:rPr>
          <w:rFonts w:cstheme="minorHAnsi"/>
          <w:color w:val="000000"/>
        </w:rPr>
        <w:t xml:space="preserve"> </w:t>
      </w:r>
      <w:r>
        <w:rPr>
          <w:rFonts w:cstheme="minorHAnsi"/>
          <w:color w:val="000000"/>
        </w:rPr>
        <w:t>Payment and Refunds</w:t>
      </w:r>
    </w:p>
    <w:p w:rsidR="001A783D" w:rsidRDefault="001A783D" w:rsidP="001503D4">
      <w:pPr>
        <w:shd w:val="clear" w:color="auto" w:fill="FFFFFF"/>
        <w:spacing w:after="0" w:line="240" w:lineRule="auto"/>
        <w:ind w:left="720" w:right="238" w:hanging="720"/>
        <w:jc w:val="both"/>
        <w:rPr>
          <w:rFonts w:cstheme="minorHAnsi"/>
          <w:color w:val="000000"/>
        </w:rPr>
      </w:pPr>
    </w:p>
    <w:p w:rsidR="002A4A50" w:rsidRPr="005F1962" w:rsidRDefault="002A4A50" w:rsidP="001503D4">
      <w:pPr>
        <w:shd w:val="clear" w:color="auto" w:fill="FFFFFF"/>
        <w:spacing w:after="0" w:line="240" w:lineRule="auto"/>
        <w:ind w:left="720" w:right="238" w:hanging="720"/>
        <w:jc w:val="both"/>
        <w:rPr>
          <w:rFonts w:cstheme="minorHAnsi"/>
          <w:color w:val="000000"/>
        </w:rPr>
      </w:pPr>
    </w:p>
    <w:p w:rsidR="001A783D" w:rsidRDefault="001A783D" w:rsidP="005F1962">
      <w:pPr>
        <w:spacing w:after="0" w:line="240" w:lineRule="auto"/>
        <w:rPr>
          <w:rFonts w:ascii="Calibri" w:hAnsi="Calibri" w:cs="Arial"/>
        </w:rPr>
      </w:pPr>
      <w:r>
        <w:rPr>
          <w:rFonts w:ascii="Calibri" w:hAnsi="Calibri" w:cs="Arial"/>
        </w:rPr>
        <w:t xml:space="preserve">11.4. </w:t>
      </w:r>
      <w:r w:rsidR="009731DE">
        <w:rPr>
          <w:rFonts w:ascii="Calibri" w:hAnsi="Calibri" w:cs="Arial"/>
        </w:rPr>
        <w:t>Navitas UPE</w:t>
      </w:r>
      <w:r>
        <w:rPr>
          <w:rFonts w:ascii="Calibri" w:hAnsi="Calibri" w:cs="Arial"/>
        </w:rPr>
        <w:t xml:space="preserve"> NPR mapping to QAA Quality Code</w:t>
      </w:r>
    </w:p>
    <w:p w:rsidR="002A4A50" w:rsidRDefault="002A4A50" w:rsidP="005F1962">
      <w:pPr>
        <w:spacing w:after="0" w:line="240" w:lineRule="auto"/>
        <w:rPr>
          <w:rFonts w:ascii="Calibri" w:hAnsi="Calibri" w:cs="Arial"/>
        </w:rPr>
      </w:pPr>
    </w:p>
    <w:p w:rsidR="00FA707D" w:rsidRDefault="00FA707D" w:rsidP="005F1962">
      <w:pPr>
        <w:spacing w:after="0" w:line="240" w:lineRule="auto"/>
        <w:rPr>
          <w:rFonts w:ascii="Calibri" w:hAnsi="Calibri" w:cs="Arial"/>
        </w:rPr>
      </w:pPr>
      <w:r>
        <w:rPr>
          <w:rFonts w:ascii="Calibri" w:hAnsi="Calibri" w:cs="Arial"/>
        </w:rPr>
        <w:t xml:space="preserve">To ensure </w:t>
      </w:r>
      <w:r w:rsidR="009731DE">
        <w:rPr>
          <w:rFonts w:ascii="Calibri" w:hAnsi="Calibri" w:cs="Arial"/>
        </w:rPr>
        <w:t>Navitas UPE</w:t>
      </w:r>
      <w:r>
        <w:rPr>
          <w:rFonts w:ascii="Calibri" w:hAnsi="Calibri" w:cs="Arial"/>
        </w:rPr>
        <w:t xml:space="preserve"> Policy and Regulations are current and </w:t>
      </w:r>
      <w:r w:rsidR="002A4A50">
        <w:rPr>
          <w:rFonts w:ascii="Calibri" w:hAnsi="Calibri" w:cs="Arial"/>
        </w:rPr>
        <w:t>valid the following table illustrates the correlation with the QAA Quality Code</w:t>
      </w:r>
      <w:r>
        <w:rPr>
          <w:rFonts w:ascii="Calibri" w:hAnsi="Calibri" w:cs="Arial"/>
        </w:rPr>
        <w:t>:</w:t>
      </w:r>
    </w:p>
    <w:p w:rsidR="00FA707D" w:rsidRDefault="00FA707D" w:rsidP="005F1962">
      <w:pPr>
        <w:spacing w:after="0" w:line="240" w:lineRule="auto"/>
        <w:rPr>
          <w:rFonts w:ascii="Calibri" w:hAnsi="Calibri" w:cs="Arial"/>
        </w:rPr>
      </w:pPr>
    </w:p>
    <w:tbl>
      <w:tblPr>
        <w:tblStyle w:val="TableGrid"/>
        <w:tblW w:w="0" w:type="auto"/>
        <w:tblLayout w:type="fixed"/>
        <w:tblLook w:val="04A0" w:firstRow="1" w:lastRow="0" w:firstColumn="1" w:lastColumn="0" w:noHBand="0" w:noVBand="1"/>
      </w:tblPr>
      <w:tblGrid>
        <w:gridCol w:w="3652"/>
        <w:gridCol w:w="2079"/>
        <w:gridCol w:w="1228"/>
        <w:gridCol w:w="1229"/>
        <w:gridCol w:w="2494"/>
      </w:tblGrid>
      <w:tr w:rsidR="004662E5" w:rsidRPr="002A4A50" w:rsidTr="002A4A50">
        <w:trPr>
          <w:trHeight w:val="303"/>
        </w:trPr>
        <w:tc>
          <w:tcPr>
            <w:tcW w:w="3652" w:type="dxa"/>
            <w:vMerge w:val="restart"/>
          </w:tcPr>
          <w:p w:rsidR="004662E5" w:rsidRPr="002A4A50" w:rsidRDefault="009731DE" w:rsidP="004662E5">
            <w:pPr>
              <w:rPr>
                <w:rFonts w:ascii="Calibri" w:hAnsi="Calibri" w:cs="Arial"/>
                <w:sz w:val="20"/>
                <w:szCs w:val="20"/>
              </w:rPr>
            </w:pPr>
            <w:r>
              <w:rPr>
                <w:rFonts w:ascii="Calibri" w:hAnsi="Calibri" w:cs="Arial"/>
                <w:sz w:val="20"/>
                <w:szCs w:val="20"/>
              </w:rPr>
              <w:t>Navitas UPE</w:t>
            </w:r>
            <w:r w:rsidR="00FA707D" w:rsidRPr="002A4A50">
              <w:rPr>
                <w:rFonts w:ascii="Calibri" w:hAnsi="Calibri" w:cs="Arial"/>
                <w:sz w:val="20"/>
                <w:szCs w:val="20"/>
              </w:rPr>
              <w:t xml:space="preserve"> </w:t>
            </w:r>
            <w:r w:rsidR="004662E5" w:rsidRPr="002A4A50">
              <w:rPr>
                <w:rFonts w:ascii="Calibri" w:hAnsi="Calibri" w:cs="Arial"/>
                <w:sz w:val="20"/>
                <w:szCs w:val="20"/>
              </w:rPr>
              <w:t>NPR</w:t>
            </w:r>
          </w:p>
        </w:tc>
        <w:tc>
          <w:tcPr>
            <w:tcW w:w="4536" w:type="dxa"/>
            <w:gridSpan w:val="3"/>
            <w:tcBorders>
              <w:bottom w:val="dotted" w:sz="4" w:space="0" w:color="auto"/>
            </w:tcBorders>
          </w:tcPr>
          <w:p w:rsidR="002A4A50" w:rsidRDefault="004662E5" w:rsidP="00FA707D">
            <w:pPr>
              <w:rPr>
                <w:rFonts w:ascii="Calibri" w:hAnsi="Calibri" w:cs="Arial"/>
                <w:sz w:val="20"/>
                <w:szCs w:val="20"/>
              </w:rPr>
            </w:pPr>
            <w:r w:rsidRPr="002A4A50">
              <w:rPr>
                <w:rFonts w:ascii="Calibri" w:hAnsi="Calibri" w:cs="Arial"/>
                <w:sz w:val="20"/>
                <w:szCs w:val="20"/>
              </w:rPr>
              <w:t>QAA Quality Code</w:t>
            </w:r>
            <w:r w:rsidR="00FA707D" w:rsidRPr="002A4A50">
              <w:rPr>
                <w:rFonts w:ascii="Calibri" w:hAnsi="Calibri" w:cs="Arial"/>
                <w:sz w:val="20"/>
                <w:szCs w:val="20"/>
              </w:rPr>
              <w:t xml:space="preserve"> </w:t>
            </w:r>
          </w:p>
          <w:p w:rsidR="00FA707D" w:rsidRPr="002A4A50" w:rsidRDefault="00FA707D" w:rsidP="005065BB">
            <w:pPr>
              <w:rPr>
                <w:rFonts w:ascii="Calibri" w:hAnsi="Calibri" w:cs="Arial"/>
                <w:i/>
                <w:sz w:val="16"/>
                <w:szCs w:val="16"/>
              </w:rPr>
            </w:pPr>
            <w:r w:rsidRPr="002A4A50">
              <w:rPr>
                <w:rFonts w:ascii="Calibri" w:hAnsi="Calibri" w:cs="Arial"/>
                <w:i/>
                <w:color w:val="808080" w:themeColor="background1" w:themeShade="80"/>
                <w:sz w:val="16"/>
                <w:szCs w:val="16"/>
              </w:rPr>
              <w:t xml:space="preserve">(specific chapters are highlighted where </w:t>
            </w:r>
            <w:r w:rsidR="005065BB">
              <w:rPr>
                <w:rFonts w:ascii="Calibri" w:hAnsi="Calibri" w:cs="Arial"/>
                <w:i/>
                <w:color w:val="808080" w:themeColor="background1" w:themeShade="80"/>
                <w:sz w:val="16"/>
                <w:szCs w:val="16"/>
              </w:rPr>
              <w:t>appropriate</w:t>
            </w:r>
            <w:r w:rsidRPr="002A4A50">
              <w:rPr>
                <w:rFonts w:ascii="Calibri" w:hAnsi="Calibri" w:cs="Arial"/>
                <w:i/>
                <w:color w:val="808080" w:themeColor="background1" w:themeShade="80"/>
                <w:sz w:val="16"/>
                <w:szCs w:val="16"/>
              </w:rPr>
              <w:t>)</w:t>
            </w:r>
          </w:p>
        </w:tc>
        <w:tc>
          <w:tcPr>
            <w:tcW w:w="2494" w:type="dxa"/>
            <w:vMerge w:val="restart"/>
          </w:tcPr>
          <w:p w:rsidR="004662E5" w:rsidRPr="002A4A50" w:rsidRDefault="004662E5" w:rsidP="00FA707D">
            <w:pPr>
              <w:rPr>
                <w:rFonts w:ascii="Calibri" w:hAnsi="Calibri" w:cs="Arial"/>
                <w:sz w:val="20"/>
                <w:szCs w:val="20"/>
              </w:rPr>
            </w:pPr>
            <w:r w:rsidRPr="002A4A50">
              <w:rPr>
                <w:rFonts w:ascii="Calibri" w:hAnsi="Calibri" w:cs="Arial"/>
                <w:sz w:val="20"/>
                <w:szCs w:val="20"/>
              </w:rPr>
              <w:t>Associated</w:t>
            </w:r>
            <w:r w:rsidR="00FA707D" w:rsidRPr="002A4A50">
              <w:rPr>
                <w:rFonts w:ascii="Calibri" w:hAnsi="Calibri" w:cs="Arial"/>
                <w:sz w:val="20"/>
                <w:szCs w:val="20"/>
              </w:rPr>
              <w:t xml:space="preserve"> D</w:t>
            </w:r>
            <w:r w:rsidRPr="002A4A50">
              <w:rPr>
                <w:rFonts w:ascii="Calibri" w:hAnsi="Calibri" w:cs="Arial"/>
                <w:sz w:val="20"/>
                <w:szCs w:val="20"/>
              </w:rPr>
              <w:t>ocuments</w:t>
            </w:r>
          </w:p>
        </w:tc>
      </w:tr>
      <w:tr w:rsidR="002A4A50" w:rsidRPr="002A4A50" w:rsidTr="002A4A50">
        <w:trPr>
          <w:trHeight w:val="137"/>
        </w:trPr>
        <w:tc>
          <w:tcPr>
            <w:tcW w:w="3652" w:type="dxa"/>
            <w:vMerge/>
          </w:tcPr>
          <w:p w:rsidR="004662E5" w:rsidRPr="002A4A50" w:rsidRDefault="004662E5" w:rsidP="004662E5">
            <w:pPr>
              <w:rPr>
                <w:rFonts w:ascii="Calibri" w:hAnsi="Calibri" w:cs="Arial"/>
                <w:sz w:val="20"/>
                <w:szCs w:val="20"/>
              </w:rPr>
            </w:pPr>
          </w:p>
        </w:tc>
        <w:tc>
          <w:tcPr>
            <w:tcW w:w="2079" w:type="dxa"/>
            <w:tcBorders>
              <w:top w:val="dotted" w:sz="4" w:space="0" w:color="auto"/>
              <w:right w:val="dotted" w:sz="4" w:space="0" w:color="auto"/>
            </w:tcBorders>
            <w:vAlign w:val="center"/>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t>Part A</w:t>
            </w:r>
          </w:p>
        </w:tc>
        <w:tc>
          <w:tcPr>
            <w:tcW w:w="1228" w:type="dxa"/>
            <w:tcBorders>
              <w:top w:val="dotted" w:sz="4" w:space="0" w:color="auto"/>
              <w:left w:val="dotted" w:sz="4" w:space="0" w:color="auto"/>
              <w:right w:val="dotted" w:sz="4" w:space="0" w:color="auto"/>
            </w:tcBorders>
            <w:vAlign w:val="center"/>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t>Part B</w:t>
            </w:r>
          </w:p>
        </w:tc>
        <w:tc>
          <w:tcPr>
            <w:tcW w:w="1229" w:type="dxa"/>
            <w:tcBorders>
              <w:top w:val="dotted" w:sz="4" w:space="0" w:color="auto"/>
              <w:left w:val="dotted" w:sz="4" w:space="0" w:color="auto"/>
            </w:tcBorders>
            <w:vAlign w:val="center"/>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t>Part C</w:t>
            </w:r>
          </w:p>
        </w:tc>
        <w:tc>
          <w:tcPr>
            <w:tcW w:w="2494" w:type="dxa"/>
            <w:vMerge/>
          </w:tcPr>
          <w:p w:rsidR="004662E5" w:rsidRPr="002A4A50" w:rsidRDefault="004662E5" w:rsidP="004662E5">
            <w:pPr>
              <w:rPr>
                <w:rFonts w:ascii="Calibri" w:hAnsi="Calibri" w:cs="Arial"/>
                <w:sz w:val="20"/>
                <w:szCs w:val="20"/>
              </w:rPr>
            </w:pPr>
          </w:p>
        </w:tc>
      </w:tr>
      <w:tr w:rsidR="002A4A50" w:rsidRPr="002A4A50" w:rsidTr="002A4A50">
        <w:tc>
          <w:tcPr>
            <w:tcW w:w="3652" w:type="dxa"/>
          </w:tcPr>
          <w:p w:rsidR="004662E5" w:rsidRPr="002A4A50" w:rsidRDefault="004662E5" w:rsidP="00FA707D">
            <w:pPr>
              <w:ind w:right="238"/>
              <w:jc w:val="both"/>
              <w:rPr>
                <w:rFonts w:cstheme="minorHAnsi"/>
                <w:color w:val="000000"/>
                <w:sz w:val="20"/>
                <w:szCs w:val="20"/>
              </w:rPr>
            </w:pPr>
            <w:r w:rsidRPr="002A4A50">
              <w:rPr>
                <w:rFonts w:cstheme="minorHAnsi"/>
                <w:color w:val="000000"/>
                <w:sz w:val="20"/>
                <w:szCs w:val="20"/>
              </w:rPr>
              <w:t>QS1</w:t>
            </w:r>
            <w:r w:rsidR="00FA707D" w:rsidRPr="002A4A50">
              <w:rPr>
                <w:rFonts w:cstheme="minorHAnsi"/>
                <w:color w:val="000000"/>
                <w:sz w:val="20"/>
                <w:szCs w:val="20"/>
              </w:rPr>
              <w:t xml:space="preserve"> </w:t>
            </w:r>
            <w:r w:rsidRPr="002A4A50">
              <w:rPr>
                <w:rFonts w:cstheme="minorHAnsi"/>
                <w:color w:val="000000"/>
                <w:sz w:val="20"/>
                <w:szCs w:val="20"/>
              </w:rPr>
              <w:t>Programme Approval and Review</w:t>
            </w:r>
          </w:p>
        </w:tc>
        <w:tc>
          <w:tcPr>
            <w:tcW w:w="2079" w:type="dxa"/>
            <w:tcBorders>
              <w:righ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p w:rsidR="004662E5" w:rsidRPr="002A4A50" w:rsidRDefault="004662E5" w:rsidP="00FA707D">
            <w:pPr>
              <w:jc w:val="center"/>
              <w:rPr>
                <w:rFonts w:ascii="Calibri" w:hAnsi="Calibri" w:cs="Arial"/>
                <w:sz w:val="16"/>
                <w:szCs w:val="16"/>
              </w:rPr>
            </w:pPr>
            <w:r w:rsidRPr="002A4A50">
              <w:rPr>
                <w:rFonts w:ascii="Calibri" w:hAnsi="Calibri" w:cs="Arial"/>
                <w:color w:val="808080" w:themeColor="background1" w:themeShade="80"/>
                <w:sz w:val="16"/>
                <w:szCs w:val="16"/>
              </w:rPr>
              <w:t>A.1</w:t>
            </w:r>
            <w:r w:rsidR="002A4A50">
              <w:rPr>
                <w:rFonts w:ascii="Calibri" w:hAnsi="Calibri" w:cs="Arial"/>
                <w:color w:val="808080" w:themeColor="background1" w:themeShade="80"/>
                <w:sz w:val="16"/>
                <w:szCs w:val="16"/>
              </w:rPr>
              <w:t>,</w:t>
            </w:r>
            <w:r w:rsidRPr="002A4A50">
              <w:rPr>
                <w:rFonts w:ascii="Calibri" w:hAnsi="Calibri" w:cs="Arial"/>
                <w:color w:val="808080" w:themeColor="background1" w:themeShade="80"/>
                <w:sz w:val="16"/>
                <w:szCs w:val="16"/>
              </w:rPr>
              <w:t xml:space="preserve"> A.2</w:t>
            </w:r>
            <w:r w:rsidR="002A4A50">
              <w:rPr>
                <w:rFonts w:ascii="Calibri" w:hAnsi="Calibri" w:cs="Arial"/>
                <w:color w:val="808080" w:themeColor="background1" w:themeShade="80"/>
                <w:sz w:val="16"/>
                <w:szCs w:val="16"/>
              </w:rPr>
              <w:t>,</w:t>
            </w:r>
            <w:r w:rsidRPr="002A4A50">
              <w:rPr>
                <w:rFonts w:ascii="Calibri" w:hAnsi="Calibri" w:cs="Arial"/>
                <w:color w:val="808080" w:themeColor="background1" w:themeShade="80"/>
                <w:sz w:val="16"/>
                <w:szCs w:val="16"/>
              </w:rPr>
              <w:t xml:space="preserve"> A.3</w:t>
            </w:r>
            <w:r w:rsidR="002A4A50">
              <w:rPr>
                <w:rFonts w:ascii="Calibri" w:hAnsi="Calibri" w:cs="Arial"/>
                <w:color w:val="808080" w:themeColor="background1" w:themeShade="80"/>
                <w:sz w:val="16"/>
                <w:szCs w:val="16"/>
              </w:rPr>
              <w:t>,</w:t>
            </w:r>
            <w:r w:rsidRPr="002A4A50">
              <w:rPr>
                <w:rFonts w:ascii="Calibri" w:hAnsi="Calibri" w:cs="Arial"/>
                <w:color w:val="808080" w:themeColor="background1" w:themeShade="80"/>
                <w:sz w:val="16"/>
                <w:szCs w:val="16"/>
              </w:rPr>
              <w:t xml:space="preserve"> A.4</w:t>
            </w:r>
            <w:r w:rsidR="002A4A50">
              <w:rPr>
                <w:rFonts w:ascii="Calibri" w:hAnsi="Calibri" w:cs="Arial"/>
                <w:color w:val="808080" w:themeColor="background1" w:themeShade="80"/>
                <w:sz w:val="16"/>
                <w:szCs w:val="16"/>
              </w:rPr>
              <w:t>,</w:t>
            </w:r>
            <w:r w:rsidRPr="002A4A50">
              <w:rPr>
                <w:rFonts w:ascii="Calibri" w:hAnsi="Calibri" w:cs="Arial"/>
                <w:color w:val="808080" w:themeColor="background1" w:themeShade="80"/>
                <w:sz w:val="16"/>
                <w:szCs w:val="16"/>
              </w:rPr>
              <w:t xml:space="preserve"> A.5</w:t>
            </w:r>
            <w:r w:rsidR="002A4A50">
              <w:rPr>
                <w:rFonts w:ascii="Calibri" w:hAnsi="Calibri" w:cs="Arial"/>
                <w:color w:val="808080" w:themeColor="background1" w:themeShade="80"/>
                <w:sz w:val="16"/>
                <w:szCs w:val="16"/>
              </w:rPr>
              <w:t>,</w:t>
            </w:r>
            <w:r w:rsidRPr="002A4A50">
              <w:rPr>
                <w:rFonts w:ascii="Calibri" w:hAnsi="Calibri" w:cs="Arial"/>
                <w:color w:val="808080" w:themeColor="background1" w:themeShade="80"/>
                <w:sz w:val="16"/>
                <w:szCs w:val="16"/>
              </w:rPr>
              <w:t xml:space="preserve"> A.6</w:t>
            </w:r>
          </w:p>
        </w:tc>
        <w:tc>
          <w:tcPr>
            <w:tcW w:w="1228" w:type="dxa"/>
            <w:tcBorders>
              <w:left w:val="dotted" w:sz="4" w:space="0" w:color="auto"/>
              <w:righ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p w:rsidR="004662E5" w:rsidRPr="002A4A50" w:rsidRDefault="004662E5" w:rsidP="002A4A50">
            <w:pPr>
              <w:jc w:val="center"/>
              <w:rPr>
                <w:rFonts w:ascii="Calibri" w:hAnsi="Calibri" w:cs="Arial"/>
                <w:sz w:val="16"/>
                <w:szCs w:val="16"/>
              </w:rPr>
            </w:pPr>
            <w:r w:rsidRPr="002A4A50">
              <w:rPr>
                <w:rFonts w:ascii="Calibri" w:hAnsi="Calibri" w:cs="Arial"/>
                <w:color w:val="808080" w:themeColor="background1" w:themeShade="80"/>
                <w:sz w:val="16"/>
                <w:szCs w:val="16"/>
              </w:rPr>
              <w:t>B.1</w:t>
            </w:r>
            <w:r w:rsidR="002A4A50">
              <w:rPr>
                <w:rFonts w:ascii="Calibri" w:hAnsi="Calibri" w:cs="Arial"/>
                <w:color w:val="808080" w:themeColor="background1" w:themeShade="80"/>
                <w:sz w:val="16"/>
                <w:szCs w:val="16"/>
              </w:rPr>
              <w:t>,</w:t>
            </w:r>
            <w:r w:rsidRPr="002A4A50">
              <w:rPr>
                <w:rFonts w:ascii="Calibri" w:hAnsi="Calibri" w:cs="Arial"/>
                <w:color w:val="808080" w:themeColor="background1" w:themeShade="80"/>
                <w:sz w:val="16"/>
                <w:szCs w:val="16"/>
              </w:rPr>
              <w:t xml:space="preserve"> B.8</w:t>
            </w:r>
          </w:p>
        </w:tc>
        <w:tc>
          <w:tcPr>
            <w:tcW w:w="1229" w:type="dxa"/>
            <w:tcBorders>
              <w:lef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tc>
        <w:tc>
          <w:tcPr>
            <w:tcW w:w="2494" w:type="dxa"/>
          </w:tcPr>
          <w:p w:rsidR="00FA707D" w:rsidRDefault="00FA707D" w:rsidP="00FA707D">
            <w:pPr>
              <w:rPr>
                <w:rFonts w:ascii="Calibri" w:hAnsi="Calibri" w:cs="Arial"/>
                <w:sz w:val="16"/>
                <w:szCs w:val="16"/>
              </w:rPr>
            </w:pPr>
            <w:r w:rsidRPr="002A4A50">
              <w:rPr>
                <w:rFonts w:ascii="Calibri" w:hAnsi="Calibri" w:cs="Arial"/>
                <w:sz w:val="16"/>
                <w:szCs w:val="16"/>
              </w:rPr>
              <w:t>QS01.1</w:t>
            </w:r>
            <w:r w:rsidR="002A4A50">
              <w:rPr>
                <w:rFonts w:ascii="Calibri" w:hAnsi="Calibri" w:cs="Arial"/>
                <w:sz w:val="16"/>
                <w:szCs w:val="16"/>
              </w:rPr>
              <w:t>,</w:t>
            </w:r>
            <w:r w:rsidRPr="002A4A50">
              <w:rPr>
                <w:rFonts w:ascii="Calibri" w:hAnsi="Calibri" w:cs="Arial"/>
                <w:sz w:val="16"/>
                <w:szCs w:val="16"/>
              </w:rPr>
              <w:t xml:space="preserve"> QS01.2</w:t>
            </w:r>
            <w:r w:rsidR="002A4A50">
              <w:rPr>
                <w:rFonts w:ascii="Calibri" w:hAnsi="Calibri" w:cs="Arial"/>
                <w:sz w:val="16"/>
                <w:szCs w:val="16"/>
              </w:rPr>
              <w:t>,</w:t>
            </w:r>
            <w:r w:rsidRPr="002A4A50">
              <w:rPr>
                <w:rFonts w:ascii="Calibri" w:hAnsi="Calibri" w:cs="Arial"/>
                <w:sz w:val="16"/>
                <w:szCs w:val="16"/>
              </w:rPr>
              <w:t xml:space="preserve"> QSO1.3</w:t>
            </w:r>
            <w:r w:rsidR="002A4A50">
              <w:rPr>
                <w:rFonts w:ascii="Calibri" w:hAnsi="Calibri" w:cs="Arial"/>
                <w:sz w:val="16"/>
                <w:szCs w:val="16"/>
              </w:rPr>
              <w:t>,</w:t>
            </w:r>
            <w:r w:rsidRPr="002A4A50">
              <w:rPr>
                <w:rFonts w:ascii="Calibri" w:hAnsi="Calibri" w:cs="Arial"/>
                <w:sz w:val="16"/>
                <w:szCs w:val="16"/>
              </w:rPr>
              <w:t xml:space="preserve"> QS01.4</w:t>
            </w:r>
          </w:p>
          <w:p w:rsidR="002A4A50" w:rsidRPr="002A4A50" w:rsidRDefault="002A4A50" w:rsidP="002A4A50">
            <w:pPr>
              <w:rPr>
                <w:rFonts w:ascii="Calibri" w:hAnsi="Calibri" w:cs="Arial"/>
                <w:sz w:val="16"/>
                <w:szCs w:val="16"/>
              </w:rPr>
            </w:pPr>
            <w:r>
              <w:rPr>
                <w:rFonts w:ascii="Calibri" w:hAnsi="Calibri" w:cs="Arial"/>
                <w:sz w:val="16"/>
                <w:szCs w:val="16"/>
              </w:rPr>
              <w:t>QM01.2</w:t>
            </w:r>
            <w:r w:rsidR="00DB4993">
              <w:rPr>
                <w:rFonts w:ascii="Calibri" w:hAnsi="Calibri" w:cs="Arial"/>
                <w:sz w:val="16"/>
                <w:szCs w:val="16"/>
              </w:rPr>
              <w:t>,</w:t>
            </w:r>
            <w:r>
              <w:rPr>
                <w:rFonts w:ascii="Calibri" w:hAnsi="Calibri" w:cs="Arial"/>
                <w:sz w:val="16"/>
                <w:szCs w:val="16"/>
              </w:rPr>
              <w:t xml:space="preserve"> QM01.3</w:t>
            </w:r>
            <w:r w:rsidR="00DB4993">
              <w:rPr>
                <w:rFonts w:ascii="Calibri" w:hAnsi="Calibri" w:cs="Arial"/>
                <w:sz w:val="16"/>
                <w:szCs w:val="16"/>
              </w:rPr>
              <w:t>,</w:t>
            </w:r>
            <w:r>
              <w:rPr>
                <w:rFonts w:ascii="Calibri" w:hAnsi="Calibri" w:cs="Arial"/>
                <w:sz w:val="16"/>
                <w:szCs w:val="16"/>
              </w:rPr>
              <w:t xml:space="preserve"> QM01.4</w:t>
            </w:r>
          </w:p>
        </w:tc>
      </w:tr>
      <w:tr w:rsidR="002A4A50" w:rsidRPr="002A4A50" w:rsidTr="002A4A50">
        <w:tc>
          <w:tcPr>
            <w:tcW w:w="3652" w:type="dxa"/>
          </w:tcPr>
          <w:p w:rsidR="004662E5" w:rsidRPr="002A4A50" w:rsidRDefault="004662E5" w:rsidP="00FA707D">
            <w:pPr>
              <w:ind w:right="238"/>
              <w:jc w:val="both"/>
              <w:rPr>
                <w:rFonts w:cstheme="minorHAnsi"/>
                <w:color w:val="000000"/>
                <w:sz w:val="20"/>
                <w:szCs w:val="20"/>
              </w:rPr>
            </w:pPr>
            <w:r w:rsidRPr="002A4A50">
              <w:rPr>
                <w:rFonts w:cstheme="minorHAnsi"/>
                <w:color w:val="000000"/>
                <w:sz w:val="20"/>
                <w:szCs w:val="20"/>
              </w:rPr>
              <w:t>QS2</w:t>
            </w:r>
            <w:r w:rsidR="00FA707D" w:rsidRPr="002A4A50">
              <w:rPr>
                <w:rFonts w:cstheme="minorHAnsi"/>
                <w:color w:val="000000"/>
                <w:sz w:val="20"/>
                <w:szCs w:val="20"/>
              </w:rPr>
              <w:t xml:space="preserve"> </w:t>
            </w:r>
            <w:r w:rsidRPr="002A4A50">
              <w:rPr>
                <w:rFonts w:cstheme="minorHAnsi"/>
                <w:color w:val="000000"/>
                <w:sz w:val="20"/>
                <w:szCs w:val="20"/>
              </w:rPr>
              <w:t>Programme Monitoring</w:t>
            </w:r>
          </w:p>
        </w:tc>
        <w:tc>
          <w:tcPr>
            <w:tcW w:w="2079" w:type="dxa"/>
            <w:tcBorders>
              <w:righ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p w:rsidR="004662E5" w:rsidRPr="002A4A50" w:rsidRDefault="004662E5" w:rsidP="00FA707D">
            <w:pPr>
              <w:jc w:val="center"/>
              <w:rPr>
                <w:rFonts w:ascii="Calibri" w:hAnsi="Calibri" w:cs="Arial"/>
                <w:sz w:val="16"/>
                <w:szCs w:val="16"/>
              </w:rPr>
            </w:pPr>
            <w:r w:rsidRPr="002A4A50">
              <w:rPr>
                <w:rFonts w:ascii="Calibri" w:hAnsi="Calibri" w:cs="Arial"/>
                <w:color w:val="808080" w:themeColor="background1" w:themeShade="80"/>
                <w:sz w:val="16"/>
                <w:szCs w:val="16"/>
              </w:rPr>
              <w:t>A.1</w:t>
            </w:r>
            <w:r w:rsidR="002A4A50">
              <w:rPr>
                <w:rFonts w:ascii="Calibri" w:hAnsi="Calibri" w:cs="Arial"/>
                <w:color w:val="808080" w:themeColor="background1" w:themeShade="80"/>
                <w:sz w:val="16"/>
                <w:szCs w:val="16"/>
              </w:rPr>
              <w:t>,</w:t>
            </w:r>
            <w:r w:rsidRPr="002A4A50">
              <w:rPr>
                <w:rFonts w:ascii="Calibri" w:hAnsi="Calibri" w:cs="Arial"/>
                <w:color w:val="808080" w:themeColor="background1" w:themeShade="80"/>
                <w:sz w:val="16"/>
                <w:szCs w:val="16"/>
              </w:rPr>
              <w:t xml:space="preserve"> A.2</w:t>
            </w:r>
            <w:r w:rsidR="002A4A50">
              <w:rPr>
                <w:rFonts w:ascii="Calibri" w:hAnsi="Calibri" w:cs="Arial"/>
                <w:color w:val="808080" w:themeColor="background1" w:themeShade="80"/>
                <w:sz w:val="16"/>
                <w:szCs w:val="16"/>
              </w:rPr>
              <w:t>,</w:t>
            </w:r>
            <w:r w:rsidRPr="002A4A50">
              <w:rPr>
                <w:rFonts w:ascii="Calibri" w:hAnsi="Calibri" w:cs="Arial"/>
                <w:color w:val="808080" w:themeColor="background1" w:themeShade="80"/>
                <w:sz w:val="16"/>
                <w:szCs w:val="16"/>
              </w:rPr>
              <w:t xml:space="preserve"> A.3</w:t>
            </w:r>
            <w:r w:rsidR="002A4A50">
              <w:rPr>
                <w:rFonts w:ascii="Calibri" w:hAnsi="Calibri" w:cs="Arial"/>
                <w:color w:val="808080" w:themeColor="background1" w:themeShade="80"/>
                <w:sz w:val="16"/>
                <w:szCs w:val="16"/>
              </w:rPr>
              <w:t>,</w:t>
            </w:r>
            <w:r w:rsidRPr="002A4A50">
              <w:rPr>
                <w:rFonts w:ascii="Calibri" w:hAnsi="Calibri" w:cs="Arial"/>
                <w:color w:val="808080" w:themeColor="background1" w:themeShade="80"/>
                <w:sz w:val="16"/>
                <w:szCs w:val="16"/>
              </w:rPr>
              <w:t xml:space="preserve"> A.4</w:t>
            </w:r>
            <w:r w:rsidR="002A4A50">
              <w:rPr>
                <w:rFonts w:ascii="Calibri" w:hAnsi="Calibri" w:cs="Arial"/>
                <w:color w:val="808080" w:themeColor="background1" w:themeShade="80"/>
                <w:sz w:val="16"/>
                <w:szCs w:val="16"/>
              </w:rPr>
              <w:t>,</w:t>
            </w:r>
            <w:r w:rsidRPr="002A4A50">
              <w:rPr>
                <w:rFonts w:ascii="Calibri" w:hAnsi="Calibri" w:cs="Arial"/>
                <w:color w:val="808080" w:themeColor="background1" w:themeShade="80"/>
                <w:sz w:val="16"/>
                <w:szCs w:val="16"/>
              </w:rPr>
              <w:t xml:space="preserve"> A.6</w:t>
            </w:r>
          </w:p>
        </w:tc>
        <w:tc>
          <w:tcPr>
            <w:tcW w:w="1228" w:type="dxa"/>
            <w:tcBorders>
              <w:left w:val="dotted" w:sz="4" w:space="0" w:color="auto"/>
              <w:righ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p w:rsidR="004662E5" w:rsidRPr="002A4A50" w:rsidRDefault="00FA707D" w:rsidP="00FA707D">
            <w:pPr>
              <w:jc w:val="center"/>
              <w:rPr>
                <w:rFonts w:ascii="Calibri" w:hAnsi="Calibri" w:cs="Arial"/>
                <w:sz w:val="16"/>
                <w:szCs w:val="16"/>
              </w:rPr>
            </w:pPr>
            <w:r w:rsidRPr="002A4A50">
              <w:rPr>
                <w:rFonts w:ascii="Calibri" w:hAnsi="Calibri" w:cs="Arial"/>
                <w:color w:val="808080" w:themeColor="background1" w:themeShade="80"/>
                <w:sz w:val="16"/>
                <w:szCs w:val="16"/>
              </w:rPr>
              <w:t>B.</w:t>
            </w:r>
            <w:r w:rsidR="004662E5" w:rsidRPr="002A4A50">
              <w:rPr>
                <w:rFonts w:ascii="Calibri" w:hAnsi="Calibri" w:cs="Arial"/>
                <w:color w:val="808080" w:themeColor="background1" w:themeShade="80"/>
                <w:sz w:val="16"/>
                <w:szCs w:val="16"/>
              </w:rPr>
              <w:t>1</w:t>
            </w:r>
            <w:r w:rsidR="002A4A50">
              <w:rPr>
                <w:rFonts w:ascii="Calibri" w:hAnsi="Calibri" w:cs="Arial"/>
                <w:color w:val="808080" w:themeColor="background1" w:themeShade="80"/>
                <w:sz w:val="16"/>
                <w:szCs w:val="16"/>
              </w:rPr>
              <w:t>,</w:t>
            </w:r>
            <w:r w:rsidR="004662E5" w:rsidRPr="002A4A50">
              <w:rPr>
                <w:rFonts w:ascii="Calibri" w:hAnsi="Calibri" w:cs="Arial"/>
                <w:color w:val="808080" w:themeColor="background1" w:themeShade="80"/>
                <w:sz w:val="16"/>
                <w:szCs w:val="16"/>
              </w:rPr>
              <w:t xml:space="preserve"> </w:t>
            </w:r>
            <w:r w:rsidRPr="002A4A50">
              <w:rPr>
                <w:rFonts w:ascii="Calibri" w:hAnsi="Calibri" w:cs="Arial"/>
                <w:color w:val="808080" w:themeColor="background1" w:themeShade="80"/>
                <w:sz w:val="16"/>
                <w:szCs w:val="16"/>
              </w:rPr>
              <w:t>B.</w:t>
            </w:r>
            <w:r w:rsidR="004662E5" w:rsidRPr="002A4A50">
              <w:rPr>
                <w:rFonts w:ascii="Calibri" w:hAnsi="Calibri" w:cs="Arial"/>
                <w:color w:val="808080" w:themeColor="background1" w:themeShade="80"/>
                <w:sz w:val="16"/>
                <w:szCs w:val="16"/>
              </w:rPr>
              <w:t>8</w:t>
            </w:r>
          </w:p>
        </w:tc>
        <w:tc>
          <w:tcPr>
            <w:tcW w:w="1229" w:type="dxa"/>
            <w:tcBorders>
              <w:lef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tc>
        <w:tc>
          <w:tcPr>
            <w:tcW w:w="2494" w:type="dxa"/>
          </w:tcPr>
          <w:p w:rsidR="002A4A50" w:rsidRPr="002A4A50" w:rsidRDefault="00FA707D" w:rsidP="00DB4993">
            <w:pPr>
              <w:rPr>
                <w:rFonts w:ascii="Calibri" w:hAnsi="Calibri" w:cs="Arial"/>
                <w:sz w:val="16"/>
                <w:szCs w:val="16"/>
              </w:rPr>
            </w:pPr>
            <w:r w:rsidRPr="002A4A50">
              <w:rPr>
                <w:rFonts w:ascii="Calibri" w:hAnsi="Calibri" w:cs="Arial"/>
                <w:sz w:val="16"/>
                <w:szCs w:val="16"/>
              </w:rPr>
              <w:t>QS02</w:t>
            </w:r>
            <w:r w:rsidR="00DB4993">
              <w:rPr>
                <w:rFonts w:ascii="Calibri" w:hAnsi="Calibri" w:cs="Arial"/>
                <w:sz w:val="16"/>
                <w:szCs w:val="16"/>
              </w:rPr>
              <w:t xml:space="preserve">, </w:t>
            </w:r>
            <w:r w:rsidR="002A4A50">
              <w:rPr>
                <w:rFonts w:ascii="Calibri" w:hAnsi="Calibri" w:cs="Arial"/>
                <w:sz w:val="16"/>
                <w:szCs w:val="16"/>
              </w:rPr>
              <w:t>QM01.1</w:t>
            </w:r>
          </w:p>
        </w:tc>
      </w:tr>
      <w:tr w:rsidR="002A4A50" w:rsidRPr="002A4A50" w:rsidTr="002A4A50">
        <w:tc>
          <w:tcPr>
            <w:tcW w:w="3652" w:type="dxa"/>
          </w:tcPr>
          <w:p w:rsidR="004662E5" w:rsidRPr="002A4A50" w:rsidRDefault="004662E5" w:rsidP="00FA707D">
            <w:pPr>
              <w:ind w:right="238"/>
              <w:jc w:val="both"/>
              <w:rPr>
                <w:rFonts w:cstheme="minorHAnsi"/>
                <w:color w:val="000000"/>
                <w:sz w:val="20"/>
                <w:szCs w:val="20"/>
              </w:rPr>
            </w:pPr>
            <w:r w:rsidRPr="002A4A50">
              <w:rPr>
                <w:rFonts w:cstheme="minorHAnsi"/>
                <w:color w:val="000000"/>
                <w:sz w:val="20"/>
                <w:szCs w:val="20"/>
              </w:rPr>
              <w:t>QS3</w:t>
            </w:r>
            <w:r w:rsidR="00FA707D" w:rsidRPr="002A4A50">
              <w:rPr>
                <w:rFonts w:cstheme="minorHAnsi"/>
                <w:color w:val="000000"/>
                <w:sz w:val="20"/>
                <w:szCs w:val="20"/>
              </w:rPr>
              <w:t xml:space="preserve"> </w:t>
            </w:r>
            <w:r w:rsidRPr="002A4A50">
              <w:rPr>
                <w:rFonts w:cstheme="minorHAnsi"/>
                <w:color w:val="000000"/>
                <w:sz w:val="20"/>
                <w:szCs w:val="20"/>
              </w:rPr>
              <w:t xml:space="preserve">Admissions and Recruitment </w:t>
            </w:r>
          </w:p>
        </w:tc>
        <w:tc>
          <w:tcPr>
            <w:tcW w:w="2079" w:type="dxa"/>
            <w:tcBorders>
              <w:righ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tc>
        <w:tc>
          <w:tcPr>
            <w:tcW w:w="1228" w:type="dxa"/>
            <w:tcBorders>
              <w:left w:val="dotted" w:sz="4" w:space="0" w:color="auto"/>
              <w:righ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p w:rsidR="004662E5" w:rsidRPr="002A4A50" w:rsidRDefault="00FA707D" w:rsidP="00FA707D">
            <w:pPr>
              <w:jc w:val="center"/>
              <w:rPr>
                <w:rFonts w:ascii="Calibri" w:hAnsi="Calibri" w:cs="Arial"/>
                <w:sz w:val="16"/>
                <w:szCs w:val="16"/>
              </w:rPr>
            </w:pPr>
            <w:r w:rsidRPr="002A4A50">
              <w:rPr>
                <w:rFonts w:ascii="Calibri" w:hAnsi="Calibri" w:cs="Arial"/>
                <w:color w:val="808080" w:themeColor="background1" w:themeShade="80"/>
                <w:sz w:val="16"/>
                <w:szCs w:val="16"/>
              </w:rPr>
              <w:t>B.</w:t>
            </w:r>
            <w:r w:rsidR="004662E5" w:rsidRPr="002A4A50">
              <w:rPr>
                <w:rFonts w:ascii="Calibri" w:hAnsi="Calibri" w:cs="Arial"/>
                <w:color w:val="808080" w:themeColor="background1" w:themeShade="80"/>
                <w:sz w:val="16"/>
                <w:szCs w:val="16"/>
              </w:rPr>
              <w:t>2</w:t>
            </w:r>
            <w:r w:rsidR="002A4A50">
              <w:rPr>
                <w:rFonts w:ascii="Calibri" w:hAnsi="Calibri" w:cs="Arial"/>
                <w:color w:val="808080" w:themeColor="background1" w:themeShade="80"/>
                <w:sz w:val="16"/>
                <w:szCs w:val="16"/>
              </w:rPr>
              <w:t>,</w:t>
            </w:r>
            <w:r w:rsidR="004662E5" w:rsidRPr="002A4A50">
              <w:rPr>
                <w:rFonts w:ascii="Calibri" w:hAnsi="Calibri" w:cs="Arial"/>
                <w:color w:val="808080" w:themeColor="background1" w:themeShade="80"/>
                <w:sz w:val="16"/>
                <w:szCs w:val="16"/>
              </w:rPr>
              <w:t xml:space="preserve"> </w:t>
            </w:r>
            <w:r w:rsidRPr="002A4A50">
              <w:rPr>
                <w:rFonts w:ascii="Calibri" w:hAnsi="Calibri" w:cs="Arial"/>
                <w:color w:val="808080" w:themeColor="background1" w:themeShade="80"/>
                <w:sz w:val="16"/>
                <w:szCs w:val="16"/>
              </w:rPr>
              <w:t>B.</w:t>
            </w:r>
            <w:r w:rsidR="004662E5" w:rsidRPr="002A4A50">
              <w:rPr>
                <w:rFonts w:ascii="Calibri" w:hAnsi="Calibri" w:cs="Arial"/>
                <w:color w:val="808080" w:themeColor="background1" w:themeShade="80"/>
                <w:sz w:val="16"/>
                <w:szCs w:val="16"/>
              </w:rPr>
              <w:t>6</w:t>
            </w:r>
          </w:p>
        </w:tc>
        <w:tc>
          <w:tcPr>
            <w:tcW w:w="1229" w:type="dxa"/>
            <w:tcBorders>
              <w:lef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tc>
        <w:tc>
          <w:tcPr>
            <w:tcW w:w="2494" w:type="dxa"/>
          </w:tcPr>
          <w:p w:rsidR="004662E5" w:rsidRPr="002A4A50" w:rsidRDefault="002A4A50" w:rsidP="004662E5">
            <w:pPr>
              <w:rPr>
                <w:rFonts w:ascii="Calibri" w:hAnsi="Calibri" w:cs="Arial"/>
                <w:sz w:val="16"/>
                <w:szCs w:val="16"/>
              </w:rPr>
            </w:pPr>
            <w:r>
              <w:rPr>
                <w:rFonts w:ascii="Calibri" w:hAnsi="Calibri" w:cs="Arial"/>
                <w:sz w:val="16"/>
                <w:szCs w:val="16"/>
              </w:rPr>
              <w:t>QS03.N [</w:t>
            </w:r>
            <w:r w:rsidR="00FA707D" w:rsidRPr="002A4A50">
              <w:rPr>
                <w:rFonts w:ascii="Calibri" w:hAnsi="Calibri" w:cs="Arial"/>
                <w:sz w:val="16"/>
                <w:szCs w:val="16"/>
              </w:rPr>
              <w:t>TBC</w:t>
            </w:r>
            <w:r>
              <w:rPr>
                <w:rFonts w:ascii="Calibri" w:hAnsi="Calibri" w:cs="Arial"/>
                <w:sz w:val="16"/>
                <w:szCs w:val="16"/>
              </w:rPr>
              <w:t>]</w:t>
            </w:r>
          </w:p>
        </w:tc>
      </w:tr>
      <w:tr w:rsidR="002A4A50" w:rsidRPr="002A4A50" w:rsidTr="002A4A50">
        <w:tc>
          <w:tcPr>
            <w:tcW w:w="3652" w:type="dxa"/>
          </w:tcPr>
          <w:p w:rsidR="004662E5" w:rsidRPr="002A4A50" w:rsidRDefault="004662E5" w:rsidP="00FA707D">
            <w:pPr>
              <w:ind w:right="238"/>
              <w:jc w:val="both"/>
              <w:rPr>
                <w:rFonts w:cstheme="minorHAnsi"/>
                <w:color w:val="000000"/>
                <w:sz w:val="20"/>
                <w:szCs w:val="20"/>
              </w:rPr>
            </w:pPr>
            <w:r w:rsidRPr="002A4A50">
              <w:rPr>
                <w:rFonts w:cstheme="minorHAnsi"/>
                <w:color w:val="000000"/>
                <w:sz w:val="20"/>
                <w:szCs w:val="20"/>
              </w:rPr>
              <w:t>QS4</w:t>
            </w:r>
            <w:r w:rsidR="00FA707D" w:rsidRPr="002A4A50">
              <w:rPr>
                <w:rFonts w:cstheme="minorHAnsi"/>
                <w:color w:val="000000"/>
                <w:sz w:val="20"/>
                <w:szCs w:val="20"/>
              </w:rPr>
              <w:t xml:space="preserve"> </w:t>
            </w:r>
            <w:r w:rsidRPr="002A4A50">
              <w:rPr>
                <w:rFonts w:cstheme="minorHAnsi"/>
                <w:color w:val="000000"/>
                <w:sz w:val="20"/>
                <w:szCs w:val="20"/>
              </w:rPr>
              <w:t>Learning and Teaching</w:t>
            </w:r>
          </w:p>
        </w:tc>
        <w:tc>
          <w:tcPr>
            <w:tcW w:w="2079" w:type="dxa"/>
            <w:tcBorders>
              <w:righ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tc>
        <w:tc>
          <w:tcPr>
            <w:tcW w:w="1228" w:type="dxa"/>
            <w:tcBorders>
              <w:left w:val="dotted" w:sz="4" w:space="0" w:color="auto"/>
              <w:righ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p w:rsidR="004662E5" w:rsidRPr="002A4A50" w:rsidRDefault="00FA707D" w:rsidP="002A4A50">
            <w:pPr>
              <w:jc w:val="center"/>
              <w:rPr>
                <w:rFonts w:ascii="Calibri" w:hAnsi="Calibri" w:cs="Arial"/>
                <w:sz w:val="16"/>
                <w:szCs w:val="16"/>
              </w:rPr>
            </w:pPr>
            <w:r w:rsidRPr="002A4A50">
              <w:rPr>
                <w:rFonts w:ascii="Calibri" w:hAnsi="Calibri" w:cs="Arial"/>
                <w:color w:val="808080" w:themeColor="background1" w:themeShade="80"/>
                <w:sz w:val="16"/>
                <w:szCs w:val="16"/>
              </w:rPr>
              <w:t>B.</w:t>
            </w:r>
            <w:r w:rsidR="004662E5" w:rsidRPr="002A4A50">
              <w:rPr>
                <w:rFonts w:ascii="Calibri" w:hAnsi="Calibri" w:cs="Arial"/>
                <w:color w:val="808080" w:themeColor="background1" w:themeShade="80"/>
                <w:sz w:val="16"/>
                <w:szCs w:val="16"/>
              </w:rPr>
              <w:t>3</w:t>
            </w:r>
            <w:r w:rsidR="002A4A50">
              <w:rPr>
                <w:rFonts w:ascii="Calibri" w:hAnsi="Calibri" w:cs="Arial"/>
                <w:color w:val="808080" w:themeColor="background1" w:themeShade="80"/>
                <w:sz w:val="16"/>
                <w:szCs w:val="16"/>
              </w:rPr>
              <w:t>,</w:t>
            </w:r>
            <w:r w:rsidR="004662E5" w:rsidRPr="002A4A50">
              <w:rPr>
                <w:rFonts w:ascii="Calibri" w:hAnsi="Calibri" w:cs="Arial"/>
                <w:color w:val="808080" w:themeColor="background1" w:themeShade="80"/>
                <w:sz w:val="16"/>
                <w:szCs w:val="16"/>
              </w:rPr>
              <w:t xml:space="preserve"> </w:t>
            </w:r>
            <w:r w:rsidRPr="002A4A50">
              <w:rPr>
                <w:rFonts w:ascii="Calibri" w:hAnsi="Calibri" w:cs="Arial"/>
                <w:color w:val="808080" w:themeColor="background1" w:themeShade="80"/>
                <w:sz w:val="16"/>
                <w:szCs w:val="16"/>
              </w:rPr>
              <w:t>B.</w:t>
            </w:r>
            <w:r w:rsidR="004662E5" w:rsidRPr="002A4A50">
              <w:rPr>
                <w:rFonts w:ascii="Calibri" w:hAnsi="Calibri" w:cs="Arial"/>
                <w:color w:val="808080" w:themeColor="background1" w:themeShade="80"/>
                <w:sz w:val="16"/>
                <w:szCs w:val="16"/>
              </w:rPr>
              <w:t>4</w:t>
            </w:r>
            <w:r w:rsidR="002A4A50">
              <w:rPr>
                <w:rFonts w:ascii="Calibri" w:hAnsi="Calibri" w:cs="Arial"/>
                <w:color w:val="808080" w:themeColor="background1" w:themeShade="80"/>
                <w:sz w:val="16"/>
                <w:szCs w:val="16"/>
              </w:rPr>
              <w:t>,</w:t>
            </w:r>
            <w:r w:rsidR="004662E5" w:rsidRPr="002A4A50">
              <w:rPr>
                <w:rFonts w:ascii="Calibri" w:hAnsi="Calibri" w:cs="Arial"/>
                <w:color w:val="808080" w:themeColor="background1" w:themeShade="80"/>
                <w:sz w:val="16"/>
                <w:szCs w:val="16"/>
              </w:rPr>
              <w:t xml:space="preserve"> </w:t>
            </w:r>
            <w:r w:rsidRPr="002A4A50">
              <w:rPr>
                <w:rFonts w:ascii="Calibri" w:hAnsi="Calibri" w:cs="Arial"/>
                <w:color w:val="808080" w:themeColor="background1" w:themeShade="80"/>
                <w:sz w:val="16"/>
                <w:szCs w:val="16"/>
              </w:rPr>
              <w:t>B.</w:t>
            </w:r>
            <w:r w:rsidR="004662E5" w:rsidRPr="002A4A50">
              <w:rPr>
                <w:rFonts w:ascii="Calibri" w:hAnsi="Calibri" w:cs="Arial"/>
                <w:color w:val="808080" w:themeColor="background1" w:themeShade="80"/>
                <w:sz w:val="16"/>
                <w:szCs w:val="16"/>
              </w:rPr>
              <w:t>5</w:t>
            </w:r>
          </w:p>
        </w:tc>
        <w:tc>
          <w:tcPr>
            <w:tcW w:w="1229" w:type="dxa"/>
            <w:tcBorders>
              <w:lef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tc>
        <w:tc>
          <w:tcPr>
            <w:tcW w:w="2494" w:type="dxa"/>
          </w:tcPr>
          <w:p w:rsidR="004662E5" w:rsidRPr="002A4A50" w:rsidRDefault="00FA707D" w:rsidP="004662E5">
            <w:pPr>
              <w:rPr>
                <w:rFonts w:ascii="Calibri" w:hAnsi="Calibri" w:cs="Arial"/>
                <w:sz w:val="16"/>
                <w:szCs w:val="16"/>
              </w:rPr>
            </w:pPr>
            <w:r w:rsidRPr="002A4A50">
              <w:rPr>
                <w:rFonts w:ascii="Calibri" w:hAnsi="Calibri" w:cs="Arial"/>
                <w:sz w:val="16"/>
                <w:szCs w:val="16"/>
              </w:rPr>
              <w:t>-</w:t>
            </w:r>
          </w:p>
        </w:tc>
      </w:tr>
      <w:tr w:rsidR="002A4A50" w:rsidRPr="002A4A50" w:rsidTr="002A4A50">
        <w:tc>
          <w:tcPr>
            <w:tcW w:w="3652" w:type="dxa"/>
          </w:tcPr>
          <w:p w:rsidR="004662E5" w:rsidRPr="002A4A50" w:rsidRDefault="004662E5" w:rsidP="00FA707D">
            <w:pPr>
              <w:ind w:right="238"/>
              <w:jc w:val="both"/>
              <w:rPr>
                <w:rFonts w:cstheme="minorHAnsi"/>
                <w:color w:val="000000"/>
                <w:sz w:val="20"/>
                <w:szCs w:val="20"/>
              </w:rPr>
            </w:pPr>
            <w:r w:rsidRPr="002A4A50">
              <w:rPr>
                <w:rFonts w:cstheme="minorHAnsi"/>
                <w:color w:val="000000"/>
                <w:sz w:val="20"/>
                <w:szCs w:val="20"/>
              </w:rPr>
              <w:t>QS5</w:t>
            </w:r>
            <w:r w:rsidR="00FA707D" w:rsidRPr="002A4A50">
              <w:rPr>
                <w:rFonts w:cstheme="minorHAnsi"/>
                <w:color w:val="000000"/>
                <w:sz w:val="20"/>
                <w:szCs w:val="20"/>
              </w:rPr>
              <w:t xml:space="preserve"> </w:t>
            </w:r>
            <w:r w:rsidRPr="002A4A50">
              <w:rPr>
                <w:rFonts w:cstheme="minorHAnsi"/>
                <w:color w:val="000000"/>
                <w:sz w:val="20"/>
                <w:szCs w:val="20"/>
              </w:rPr>
              <w:t>Teaching Observation</w:t>
            </w:r>
          </w:p>
        </w:tc>
        <w:tc>
          <w:tcPr>
            <w:tcW w:w="2079" w:type="dxa"/>
            <w:tcBorders>
              <w:righ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tc>
        <w:tc>
          <w:tcPr>
            <w:tcW w:w="1228" w:type="dxa"/>
            <w:tcBorders>
              <w:left w:val="dotted" w:sz="4" w:space="0" w:color="auto"/>
              <w:righ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p w:rsidR="004662E5" w:rsidRPr="002A4A50" w:rsidRDefault="00FA707D" w:rsidP="00FA707D">
            <w:pPr>
              <w:jc w:val="center"/>
              <w:rPr>
                <w:rFonts w:ascii="Calibri" w:hAnsi="Calibri" w:cs="Arial"/>
                <w:sz w:val="16"/>
                <w:szCs w:val="16"/>
              </w:rPr>
            </w:pPr>
            <w:r w:rsidRPr="002A4A50">
              <w:rPr>
                <w:rFonts w:ascii="Calibri" w:hAnsi="Calibri" w:cs="Arial"/>
                <w:color w:val="808080" w:themeColor="background1" w:themeShade="80"/>
                <w:sz w:val="16"/>
                <w:szCs w:val="16"/>
              </w:rPr>
              <w:t>B.</w:t>
            </w:r>
            <w:r w:rsidR="004662E5" w:rsidRPr="002A4A50">
              <w:rPr>
                <w:rFonts w:ascii="Calibri" w:hAnsi="Calibri" w:cs="Arial"/>
                <w:color w:val="808080" w:themeColor="background1" w:themeShade="80"/>
                <w:sz w:val="16"/>
                <w:szCs w:val="16"/>
              </w:rPr>
              <w:t>3</w:t>
            </w:r>
            <w:r w:rsidR="002A4A50">
              <w:rPr>
                <w:rFonts w:ascii="Calibri" w:hAnsi="Calibri" w:cs="Arial"/>
                <w:color w:val="808080" w:themeColor="background1" w:themeShade="80"/>
                <w:sz w:val="16"/>
                <w:szCs w:val="16"/>
              </w:rPr>
              <w:t>,</w:t>
            </w:r>
            <w:r w:rsidR="004662E5" w:rsidRPr="002A4A50">
              <w:rPr>
                <w:rFonts w:ascii="Calibri" w:hAnsi="Calibri" w:cs="Arial"/>
                <w:color w:val="808080" w:themeColor="background1" w:themeShade="80"/>
                <w:sz w:val="16"/>
                <w:szCs w:val="16"/>
              </w:rPr>
              <w:t xml:space="preserve"> </w:t>
            </w:r>
            <w:r w:rsidRPr="002A4A50">
              <w:rPr>
                <w:rFonts w:ascii="Calibri" w:hAnsi="Calibri" w:cs="Arial"/>
                <w:color w:val="808080" w:themeColor="background1" w:themeShade="80"/>
                <w:sz w:val="16"/>
                <w:szCs w:val="16"/>
              </w:rPr>
              <w:t>B.</w:t>
            </w:r>
            <w:r w:rsidR="004662E5" w:rsidRPr="002A4A50">
              <w:rPr>
                <w:rFonts w:ascii="Calibri" w:hAnsi="Calibri" w:cs="Arial"/>
                <w:color w:val="808080" w:themeColor="background1" w:themeShade="80"/>
                <w:sz w:val="16"/>
                <w:szCs w:val="16"/>
              </w:rPr>
              <w:t>5</w:t>
            </w:r>
            <w:r w:rsidR="002A4A50">
              <w:rPr>
                <w:rFonts w:ascii="Calibri" w:hAnsi="Calibri" w:cs="Arial"/>
                <w:color w:val="808080" w:themeColor="background1" w:themeShade="80"/>
                <w:sz w:val="16"/>
                <w:szCs w:val="16"/>
              </w:rPr>
              <w:t>,</w:t>
            </w:r>
            <w:r w:rsidR="004662E5" w:rsidRPr="002A4A50">
              <w:rPr>
                <w:rFonts w:ascii="Calibri" w:hAnsi="Calibri" w:cs="Arial"/>
                <w:color w:val="808080" w:themeColor="background1" w:themeShade="80"/>
                <w:sz w:val="16"/>
                <w:szCs w:val="16"/>
              </w:rPr>
              <w:t xml:space="preserve"> </w:t>
            </w:r>
            <w:r w:rsidRPr="002A4A50">
              <w:rPr>
                <w:rFonts w:ascii="Calibri" w:hAnsi="Calibri" w:cs="Arial"/>
                <w:color w:val="808080" w:themeColor="background1" w:themeShade="80"/>
                <w:sz w:val="16"/>
                <w:szCs w:val="16"/>
              </w:rPr>
              <w:t>B.</w:t>
            </w:r>
            <w:r w:rsidR="004662E5" w:rsidRPr="002A4A50">
              <w:rPr>
                <w:rFonts w:ascii="Calibri" w:hAnsi="Calibri" w:cs="Arial"/>
                <w:color w:val="808080" w:themeColor="background1" w:themeShade="80"/>
                <w:sz w:val="16"/>
                <w:szCs w:val="16"/>
              </w:rPr>
              <w:t>8</w:t>
            </w:r>
          </w:p>
        </w:tc>
        <w:tc>
          <w:tcPr>
            <w:tcW w:w="1229" w:type="dxa"/>
            <w:tcBorders>
              <w:lef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tc>
        <w:tc>
          <w:tcPr>
            <w:tcW w:w="2494" w:type="dxa"/>
          </w:tcPr>
          <w:p w:rsidR="00FA707D" w:rsidRPr="002A4A50" w:rsidRDefault="00FA707D" w:rsidP="00FA707D">
            <w:pPr>
              <w:rPr>
                <w:rFonts w:ascii="Calibri" w:hAnsi="Calibri" w:cs="Arial"/>
                <w:sz w:val="16"/>
                <w:szCs w:val="16"/>
              </w:rPr>
            </w:pPr>
            <w:r w:rsidRPr="002A4A50">
              <w:rPr>
                <w:rFonts w:ascii="Calibri" w:hAnsi="Calibri" w:cs="Arial"/>
                <w:sz w:val="16"/>
                <w:szCs w:val="16"/>
              </w:rPr>
              <w:t>QS05.1</w:t>
            </w:r>
            <w:r w:rsidR="002A4A50">
              <w:rPr>
                <w:rFonts w:ascii="Calibri" w:hAnsi="Calibri" w:cs="Arial"/>
                <w:sz w:val="16"/>
                <w:szCs w:val="16"/>
              </w:rPr>
              <w:t>,</w:t>
            </w:r>
            <w:r w:rsidRPr="002A4A50">
              <w:rPr>
                <w:rFonts w:ascii="Calibri" w:hAnsi="Calibri" w:cs="Arial"/>
                <w:sz w:val="16"/>
                <w:szCs w:val="16"/>
              </w:rPr>
              <w:t xml:space="preserve"> QS05.2</w:t>
            </w:r>
          </w:p>
        </w:tc>
      </w:tr>
      <w:tr w:rsidR="002A4A50" w:rsidRPr="002A4A50" w:rsidTr="002A4A50">
        <w:tc>
          <w:tcPr>
            <w:tcW w:w="3652" w:type="dxa"/>
          </w:tcPr>
          <w:p w:rsidR="004662E5" w:rsidRPr="002A4A50" w:rsidRDefault="004662E5" w:rsidP="00FA707D">
            <w:pPr>
              <w:ind w:right="238"/>
              <w:jc w:val="both"/>
              <w:rPr>
                <w:rFonts w:cstheme="minorHAnsi"/>
                <w:color w:val="000000"/>
                <w:sz w:val="20"/>
                <w:szCs w:val="20"/>
              </w:rPr>
            </w:pPr>
            <w:r w:rsidRPr="002A4A50">
              <w:rPr>
                <w:rFonts w:cstheme="minorHAnsi"/>
                <w:color w:val="000000"/>
                <w:sz w:val="20"/>
                <w:szCs w:val="20"/>
              </w:rPr>
              <w:t>QS6</w:t>
            </w:r>
            <w:r w:rsidR="00FA707D" w:rsidRPr="002A4A50">
              <w:rPr>
                <w:rFonts w:cstheme="minorHAnsi"/>
                <w:color w:val="000000"/>
                <w:sz w:val="20"/>
                <w:szCs w:val="20"/>
              </w:rPr>
              <w:t xml:space="preserve"> </w:t>
            </w:r>
            <w:r w:rsidRPr="002A4A50">
              <w:rPr>
                <w:rFonts w:cstheme="minorHAnsi"/>
                <w:color w:val="000000"/>
                <w:sz w:val="20"/>
                <w:szCs w:val="20"/>
              </w:rPr>
              <w:t>Enhancement</w:t>
            </w:r>
          </w:p>
        </w:tc>
        <w:tc>
          <w:tcPr>
            <w:tcW w:w="2079" w:type="dxa"/>
            <w:tcBorders>
              <w:righ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tc>
        <w:tc>
          <w:tcPr>
            <w:tcW w:w="1228" w:type="dxa"/>
            <w:tcBorders>
              <w:left w:val="dotted" w:sz="4" w:space="0" w:color="auto"/>
              <w:righ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p w:rsidR="004662E5" w:rsidRPr="002A4A50" w:rsidRDefault="00FA707D" w:rsidP="00FA707D">
            <w:pPr>
              <w:jc w:val="center"/>
              <w:rPr>
                <w:rFonts w:ascii="Calibri" w:hAnsi="Calibri" w:cs="Arial"/>
                <w:sz w:val="16"/>
                <w:szCs w:val="16"/>
              </w:rPr>
            </w:pPr>
            <w:r w:rsidRPr="002A4A50">
              <w:rPr>
                <w:rFonts w:ascii="Calibri" w:hAnsi="Calibri" w:cs="Arial"/>
                <w:color w:val="808080" w:themeColor="background1" w:themeShade="80"/>
                <w:sz w:val="16"/>
                <w:szCs w:val="16"/>
              </w:rPr>
              <w:t>B.</w:t>
            </w:r>
            <w:r w:rsidR="004662E5" w:rsidRPr="002A4A50">
              <w:rPr>
                <w:rFonts w:ascii="Calibri" w:hAnsi="Calibri" w:cs="Arial"/>
                <w:color w:val="808080" w:themeColor="background1" w:themeShade="80"/>
                <w:sz w:val="16"/>
                <w:szCs w:val="16"/>
              </w:rPr>
              <w:t>4</w:t>
            </w:r>
            <w:r w:rsidR="002A4A50">
              <w:rPr>
                <w:rFonts w:ascii="Calibri" w:hAnsi="Calibri" w:cs="Arial"/>
                <w:color w:val="808080" w:themeColor="background1" w:themeShade="80"/>
                <w:sz w:val="16"/>
                <w:szCs w:val="16"/>
              </w:rPr>
              <w:t>,</w:t>
            </w:r>
            <w:r w:rsidR="004662E5" w:rsidRPr="002A4A50">
              <w:rPr>
                <w:rFonts w:ascii="Calibri" w:hAnsi="Calibri" w:cs="Arial"/>
                <w:color w:val="808080" w:themeColor="background1" w:themeShade="80"/>
                <w:sz w:val="16"/>
                <w:szCs w:val="16"/>
              </w:rPr>
              <w:t xml:space="preserve"> </w:t>
            </w:r>
            <w:r w:rsidRPr="002A4A50">
              <w:rPr>
                <w:rFonts w:ascii="Calibri" w:hAnsi="Calibri" w:cs="Arial"/>
                <w:color w:val="808080" w:themeColor="background1" w:themeShade="80"/>
                <w:sz w:val="16"/>
                <w:szCs w:val="16"/>
              </w:rPr>
              <w:t>B.</w:t>
            </w:r>
            <w:r w:rsidR="004662E5" w:rsidRPr="002A4A50">
              <w:rPr>
                <w:rFonts w:ascii="Calibri" w:hAnsi="Calibri" w:cs="Arial"/>
                <w:color w:val="808080" w:themeColor="background1" w:themeShade="80"/>
                <w:sz w:val="16"/>
                <w:szCs w:val="16"/>
              </w:rPr>
              <w:t>5</w:t>
            </w:r>
          </w:p>
        </w:tc>
        <w:tc>
          <w:tcPr>
            <w:tcW w:w="1229" w:type="dxa"/>
            <w:tcBorders>
              <w:lef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tc>
        <w:tc>
          <w:tcPr>
            <w:tcW w:w="2494" w:type="dxa"/>
          </w:tcPr>
          <w:p w:rsidR="004662E5" w:rsidRPr="002A4A50" w:rsidRDefault="00FA707D" w:rsidP="004662E5">
            <w:pPr>
              <w:rPr>
                <w:rFonts w:ascii="Calibri" w:hAnsi="Calibri" w:cs="Arial"/>
                <w:sz w:val="16"/>
                <w:szCs w:val="16"/>
              </w:rPr>
            </w:pPr>
            <w:r w:rsidRPr="002A4A50">
              <w:rPr>
                <w:rFonts w:ascii="Calibri" w:hAnsi="Calibri" w:cs="Arial"/>
                <w:sz w:val="16"/>
                <w:szCs w:val="16"/>
              </w:rPr>
              <w:t>-</w:t>
            </w:r>
          </w:p>
        </w:tc>
      </w:tr>
      <w:tr w:rsidR="002A4A50" w:rsidRPr="002A4A50" w:rsidTr="002A4A50">
        <w:tc>
          <w:tcPr>
            <w:tcW w:w="3652" w:type="dxa"/>
          </w:tcPr>
          <w:p w:rsidR="004662E5" w:rsidRPr="002A4A50" w:rsidRDefault="004662E5" w:rsidP="00FA707D">
            <w:pPr>
              <w:ind w:right="238"/>
              <w:jc w:val="both"/>
              <w:rPr>
                <w:rFonts w:cstheme="minorHAnsi"/>
                <w:color w:val="000000"/>
                <w:sz w:val="20"/>
                <w:szCs w:val="20"/>
              </w:rPr>
            </w:pPr>
            <w:r w:rsidRPr="002A4A50">
              <w:rPr>
                <w:rFonts w:cstheme="minorHAnsi"/>
                <w:color w:val="000000"/>
                <w:sz w:val="20"/>
                <w:szCs w:val="20"/>
              </w:rPr>
              <w:t>QS7</w:t>
            </w:r>
            <w:r w:rsidR="00FA707D" w:rsidRPr="002A4A50">
              <w:rPr>
                <w:rFonts w:cstheme="minorHAnsi"/>
                <w:color w:val="000000"/>
                <w:sz w:val="20"/>
                <w:szCs w:val="20"/>
              </w:rPr>
              <w:t xml:space="preserve"> </w:t>
            </w:r>
            <w:r w:rsidRPr="002A4A50">
              <w:rPr>
                <w:rFonts w:cstheme="minorHAnsi"/>
                <w:color w:val="000000"/>
                <w:sz w:val="20"/>
                <w:szCs w:val="20"/>
              </w:rPr>
              <w:t>Student Support</w:t>
            </w:r>
          </w:p>
        </w:tc>
        <w:tc>
          <w:tcPr>
            <w:tcW w:w="2079" w:type="dxa"/>
            <w:tcBorders>
              <w:righ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tc>
        <w:tc>
          <w:tcPr>
            <w:tcW w:w="1228" w:type="dxa"/>
            <w:tcBorders>
              <w:left w:val="dotted" w:sz="4" w:space="0" w:color="auto"/>
              <w:righ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p w:rsidR="004662E5" w:rsidRPr="002A4A50" w:rsidRDefault="00FA707D" w:rsidP="00FA707D">
            <w:pPr>
              <w:jc w:val="center"/>
              <w:rPr>
                <w:rFonts w:ascii="Calibri" w:hAnsi="Calibri" w:cs="Arial"/>
                <w:sz w:val="16"/>
                <w:szCs w:val="16"/>
              </w:rPr>
            </w:pPr>
            <w:r w:rsidRPr="002A4A50">
              <w:rPr>
                <w:rFonts w:ascii="Calibri" w:hAnsi="Calibri" w:cs="Arial"/>
                <w:color w:val="808080" w:themeColor="background1" w:themeShade="80"/>
                <w:sz w:val="16"/>
                <w:szCs w:val="16"/>
              </w:rPr>
              <w:t>B.</w:t>
            </w:r>
            <w:r w:rsidR="004662E5" w:rsidRPr="002A4A50">
              <w:rPr>
                <w:rFonts w:ascii="Calibri" w:hAnsi="Calibri" w:cs="Arial"/>
                <w:color w:val="808080" w:themeColor="background1" w:themeShade="80"/>
                <w:sz w:val="16"/>
                <w:szCs w:val="16"/>
              </w:rPr>
              <w:t>4</w:t>
            </w:r>
            <w:r w:rsidR="002A4A50">
              <w:rPr>
                <w:rFonts w:ascii="Calibri" w:hAnsi="Calibri" w:cs="Arial"/>
                <w:color w:val="808080" w:themeColor="background1" w:themeShade="80"/>
                <w:sz w:val="16"/>
                <w:szCs w:val="16"/>
              </w:rPr>
              <w:t>,</w:t>
            </w:r>
            <w:r w:rsidR="004662E5" w:rsidRPr="002A4A50">
              <w:rPr>
                <w:rFonts w:ascii="Calibri" w:hAnsi="Calibri" w:cs="Arial"/>
                <w:color w:val="808080" w:themeColor="background1" w:themeShade="80"/>
                <w:sz w:val="16"/>
                <w:szCs w:val="16"/>
              </w:rPr>
              <w:t xml:space="preserve"> </w:t>
            </w:r>
            <w:r w:rsidRPr="002A4A50">
              <w:rPr>
                <w:rFonts w:ascii="Calibri" w:hAnsi="Calibri" w:cs="Arial"/>
                <w:color w:val="808080" w:themeColor="background1" w:themeShade="80"/>
                <w:sz w:val="16"/>
                <w:szCs w:val="16"/>
              </w:rPr>
              <w:t>B.</w:t>
            </w:r>
            <w:r w:rsidR="004662E5" w:rsidRPr="002A4A50">
              <w:rPr>
                <w:rFonts w:ascii="Calibri" w:hAnsi="Calibri" w:cs="Arial"/>
                <w:color w:val="808080" w:themeColor="background1" w:themeShade="80"/>
                <w:sz w:val="16"/>
                <w:szCs w:val="16"/>
              </w:rPr>
              <w:t>5</w:t>
            </w:r>
          </w:p>
        </w:tc>
        <w:tc>
          <w:tcPr>
            <w:tcW w:w="1229" w:type="dxa"/>
            <w:tcBorders>
              <w:lef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tc>
        <w:tc>
          <w:tcPr>
            <w:tcW w:w="2494" w:type="dxa"/>
          </w:tcPr>
          <w:p w:rsidR="004662E5" w:rsidRPr="002A4A50" w:rsidRDefault="00FA707D" w:rsidP="004662E5">
            <w:pPr>
              <w:rPr>
                <w:rFonts w:ascii="Calibri" w:hAnsi="Calibri" w:cs="Arial"/>
                <w:sz w:val="16"/>
                <w:szCs w:val="16"/>
              </w:rPr>
            </w:pPr>
            <w:r w:rsidRPr="002A4A50">
              <w:rPr>
                <w:rFonts w:ascii="Calibri" w:hAnsi="Calibri" w:cs="Arial"/>
                <w:sz w:val="16"/>
                <w:szCs w:val="16"/>
              </w:rPr>
              <w:t>-</w:t>
            </w:r>
          </w:p>
        </w:tc>
      </w:tr>
      <w:tr w:rsidR="002A4A50" w:rsidRPr="002A4A50" w:rsidTr="002A4A50">
        <w:tc>
          <w:tcPr>
            <w:tcW w:w="3652" w:type="dxa"/>
          </w:tcPr>
          <w:p w:rsidR="004662E5" w:rsidRPr="002A4A50" w:rsidRDefault="004662E5" w:rsidP="00FA707D">
            <w:pPr>
              <w:ind w:right="238"/>
              <w:jc w:val="both"/>
              <w:rPr>
                <w:rFonts w:cstheme="minorHAnsi"/>
                <w:color w:val="000000"/>
                <w:sz w:val="20"/>
                <w:szCs w:val="20"/>
              </w:rPr>
            </w:pPr>
            <w:r w:rsidRPr="002A4A50">
              <w:rPr>
                <w:rFonts w:cstheme="minorHAnsi"/>
                <w:color w:val="000000"/>
                <w:sz w:val="20"/>
                <w:szCs w:val="20"/>
              </w:rPr>
              <w:t>QS8</w:t>
            </w:r>
            <w:r w:rsidR="00FA707D" w:rsidRPr="002A4A50">
              <w:rPr>
                <w:rFonts w:cstheme="minorHAnsi"/>
                <w:color w:val="000000"/>
                <w:sz w:val="20"/>
                <w:szCs w:val="20"/>
              </w:rPr>
              <w:t xml:space="preserve"> </w:t>
            </w:r>
            <w:r w:rsidRPr="002A4A50">
              <w:rPr>
                <w:rFonts w:cstheme="minorHAnsi"/>
                <w:color w:val="000000"/>
                <w:sz w:val="20"/>
                <w:szCs w:val="20"/>
              </w:rPr>
              <w:t>Student Engagement</w:t>
            </w:r>
          </w:p>
        </w:tc>
        <w:tc>
          <w:tcPr>
            <w:tcW w:w="2079" w:type="dxa"/>
            <w:tcBorders>
              <w:righ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tc>
        <w:tc>
          <w:tcPr>
            <w:tcW w:w="1228" w:type="dxa"/>
            <w:tcBorders>
              <w:left w:val="dotted" w:sz="4" w:space="0" w:color="auto"/>
              <w:righ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p w:rsidR="004662E5" w:rsidRPr="002A4A50" w:rsidRDefault="00FA707D" w:rsidP="00FA707D">
            <w:pPr>
              <w:jc w:val="center"/>
              <w:rPr>
                <w:rFonts w:ascii="Calibri" w:hAnsi="Calibri" w:cs="Arial"/>
                <w:sz w:val="16"/>
                <w:szCs w:val="16"/>
              </w:rPr>
            </w:pPr>
            <w:r w:rsidRPr="002A4A50">
              <w:rPr>
                <w:rFonts w:ascii="Calibri" w:hAnsi="Calibri" w:cs="Arial"/>
                <w:color w:val="808080" w:themeColor="background1" w:themeShade="80"/>
                <w:sz w:val="16"/>
                <w:szCs w:val="16"/>
              </w:rPr>
              <w:t>B.</w:t>
            </w:r>
            <w:r w:rsidR="004662E5" w:rsidRPr="002A4A50">
              <w:rPr>
                <w:rFonts w:ascii="Calibri" w:hAnsi="Calibri" w:cs="Arial"/>
                <w:color w:val="808080" w:themeColor="background1" w:themeShade="80"/>
                <w:sz w:val="16"/>
                <w:szCs w:val="16"/>
              </w:rPr>
              <w:t>3</w:t>
            </w:r>
            <w:r w:rsidR="002A4A50">
              <w:rPr>
                <w:rFonts w:ascii="Calibri" w:hAnsi="Calibri" w:cs="Arial"/>
                <w:color w:val="808080" w:themeColor="background1" w:themeShade="80"/>
                <w:sz w:val="16"/>
                <w:szCs w:val="16"/>
              </w:rPr>
              <w:t>,</w:t>
            </w:r>
            <w:r w:rsidR="004662E5" w:rsidRPr="002A4A50">
              <w:rPr>
                <w:rFonts w:ascii="Calibri" w:hAnsi="Calibri" w:cs="Arial"/>
                <w:color w:val="808080" w:themeColor="background1" w:themeShade="80"/>
                <w:sz w:val="16"/>
                <w:szCs w:val="16"/>
              </w:rPr>
              <w:t xml:space="preserve"> </w:t>
            </w:r>
            <w:r w:rsidRPr="002A4A50">
              <w:rPr>
                <w:rFonts w:ascii="Calibri" w:hAnsi="Calibri" w:cs="Arial"/>
                <w:color w:val="808080" w:themeColor="background1" w:themeShade="80"/>
                <w:sz w:val="16"/>
                <w:szCs w:val="16"/>
              </w:rPr>
              <w:t>B.</w:t>
            </w:r>
            <w:r w:rsidR="004662E5" w:rsidRPr="002A4A50">
              <w:rPr>
                <w:rFonts w:ascii="Calibri" w:hAnsi="Calibri" w:cs="Arial"/>
                <w:color w:val="808080" w:themeColor="background1" w:themeShade="80"/>
                <w:sz w:val="16"/>
                <w:szCs w:val="16"/>
              </w:rPr>
              <w:t>5</w:t>
            </w:r>
            <w:r w:rsidR="002A4A50">
              <w:rPr>
                <w:rFonts w:ascii="Calibri" w:hAnsi="Calibri" w:cs="Arial"/>
                <w:color w:val="808080" w:themeColor="background1" w:themeShade="80"/>
                <w:sz w:val="16"/>
                <w:szCs w:val="16"/>
              </w:rPr>
              <w:t>,</w:t>
            </w:r>
            <w:r w:rsidR="004662E5" w:rsidRPr="002A4A50">
              <w:rPr>
                <w:rFonts w:ascii="Calibri" w:hAnsi="Calibri" w:cs="Arial"/>
                <w:color w:val="808080" w:themeColor="background1" w:themeShade="80"/>
                <w:sz w:val="16"/>
                <w:szCs w:val="16"/>
              </w:rPr>
              <w:t xml:space="preserve"> </w:t>
            </w:r>
            <w:r w:rsidRPr="002A4A50">
              <w:rPr>
                <w:rFonts w:ascii="Calibri" w:hAnsi="Calibri" w:cs="Arial"/>
                <w:color w:val="808080" w:themeColor="background1" w:themeShade="80"/>
                <w:sz w:val="16"/>
                <w:szCs w:val="16"/>
              </w:rPr>
              <w:t>B.</w:t>
            </w:r>
            <w:r w:rsidR="004662E5" w:rsidRPr="002A4A50">
              <w:rPr>
                <w:rFonts w:ascii="Calibri" w:hAnsi="Calibri" w:cs="Arial"/>
                <w:color w:val="808080" w:themeColor="background1" w:themeShade="80"/>
                <w:sz w:val="16"/>
                <w:szCs w:val="16"/>
              </w:rPr>
              <w:t>8</w:t>
            </w:r>
          </w:p>
        </w:tc>
        <w:tc>
          <w:tcPr>
            <w:tcW w:w="1229" w:type="dxa"/>
            <w:tcBorders>
              <w:lef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tc>
        <w:tc>
          <w:tcPr>
            <w:tcW w:w="2494" w:type="dxa"/>
          </w:tcPr>
          <w:p w:rsidR="004662E5" w:rsidRPr="002A4A50" w:rsidRDefault="00FA707D" w:rsidP="004662E5">
            <w:pPr>
              <w:rPr>
                <w:rFonts w:ascii="Calibri" w:hAnsi="Calibri" w:cs="Arial"/>
                <w:sz w:val="16"/>
                <w:szCs w:val="16"/>
              </w:rPr>
            </w:pPr>
            <w:r w:rsidRPr="002A4A50">
              <w:rPr>
                <w:rFonts w:ascii="Calibri" w:hAnsi="Calibri" w:cs="Arial"/>
                <w:sz w:val="16"/>
                <w:szCs w:val="16"/>
              </w:rPr>
              <w:t>QS08</w:t>
            </w:r>
          </w:p>
        </w:tc>
      </w:tr>
      <w:tr w:rsidR="002A4A50" w:rsidRPr="002A4A50" w:rsidTr="002A4A50">
        <w:tc>
          <w:tcPr>
            <w:tcW w:w="3652" w:type="dxa"/>
          </w:tcPr>
          <w:p w:rsidR="004662E5" w:rsidRPr="002A4A50" w:rsidRDefault="004662E5" w:rsidP="00FA707D">
            <w:pPr>
              <w:ind w:right="238"/>
              <w:jc w:val="both"/>
              <w:rPr>
                <w:rFonts w:cstheme="minorHAnsi"/>
                <w:color w:val="000000"/>
                <w:sz w:val="20"/>
                <w:szCs w:val="20"/>
              </w:rPr>
            </w:pPr>
            <w:r w:rsidRPr="002A4A50">
              <w:rPr>
                <w:rFonts w:cstheme="minorHAnsi"/>
                <w:color w:val="000000"/>
                <w:sz w:val="20"/>
                <w:szCs w:val="20"/>
              </w:rPr>
              <w:t>QS9</w:t>
            </w:r>
            <w:r w:rsidR="00FA707D" w:rsidRPr="002A4A50">
              <w:rPr>
                <w:rFonts w:cstheme="minorHAnsi"/>
                <w:color w:val="000000"/>
                <w:sz w:val="20"/>
                <w:szCs w:val="20"/>
              </w:rPr>
              <w:t xml:space="preserve"> </w:t>
            </w:r>
            <w:r w:rsidRPr="002A4A50">
              <w:rPr>
                <w:rFonts w:cstheme="minorHAnsi"/>
                <w:color w:val="000000"/>
                <w:sz w:val="20"/>
                <w:szCs w:val="20"/>
              </w:rPr>
              <w:t>Assessment</w:t>
            </w:r>
          </w:p>
        </w:tc>
        <w:tc>
          <w:tcPr>
            <w:tcW w:w="2079" w:type="dxa"/>
            <w:tcBorders>
              <w:righ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tc>
        <w:tc>
          <w:tcPr>
            <w:tcW w:w="1228" w:type="dxa"/>
            <w:tcBorders>
              <w:left w:val="dotted" w:sz="4" w:space="0" w:color="auto"/>
              <w:righ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p w:rsidR="004662E5" w:rsidRPr="002A4A50" w:rsidRDefault="00FA707D" w:rsidP="00FA707D">
            <w:pPr>
              <w:jc w:val="center"/>
              <w:rPr>
                <w:rFonts w:ascii="Calibri" w:hAnsi="Calibri" w:cs="Arial"/>
                <w:sz w:val="16"/>
                <w:szCs w:val="16"/>
              </w:rPr>
            </w:pPr>
            <w:r w:rsidRPr="002A4A50">
              <w:rPr>
                <w:rFonts w:ascii="Calibri" w:hAnsi="Calibri" w:cs="Arial"/>
                <w:color w:val="808080" w:themeColor="background1" w:themeShade="80"/>
                <w:sz w:val="16"/>
                <w:szCs w:val="16"/>
              </w:rPr>
              <w:t>B.</w:t>
            </w:r>
            <w:r w:rsidR="004662E5" w:rsidRPr="002A4A50">
              <w:rPr>
                <w:rFonts w:ascii="Calibri" w:hAnsi="Calibri" w:cs="Arial"/>
                <w:color w:val="808080" w:themeColor="background1" w:themeShade="80"/>
                <w:sz w:val="16"/>
                <w:szCs w:val="16"/>
              </w:rPr>
              <w:t>6</w:t>
            </w:r>
            <w:r w:rsidR="002A4A50">
              <w:rPr>
                <w:rFonts w:ascii="Calibri" w:hAnsi="Calibri" w:cs="Arial"/>
                <w:color w:val="808080" w:themeColor="background1" w:themeShade="80"/>
                <w:sz w:val="16"/>
                <w:szCs w:val="16"/>
              </w:rPr>
              <w:t>,</w:t>
            </w:r>
            <w:r w:rsidR="004662E5" w:rsidRPr="002A4A50">
              <w:rPr>
                <w:rFonts w:ascii="Calibri" w:hAnsi="Calibri" w:cs="Arial"/>
                <w:color w:val="808080" w:themeColor="background1" w:themeShade="80"/>
                <w:sz w:val="16"/>
                <w:szCs w:val="16"/>
              </w:rPr>
              <w:t xml:space="preserve"> </w:t>
            </w:r>
            <w:r w:rsidRPr="002A4A50">
              <w:rPr>
                <w:rFonts w:ascii="Calibri" w:hAnsi="Calibri" w:cs="Arial"/>
                <w:color w:val="808080" w:themeColor="background1" w:themeShade="80"/>
                <w:sz w:val="16"/>
                <w:szCs w:val="16"/>
              </w:rPr>
              <w:t>B.</w:t>
            </w:r>
            <w:r w:rsidR="004662E5" w:rsidRPr="002A4A50">
              <w:rPr>
                <w:rFonts w:ascii="Calibri" w:hAnsi="Calibri" w:cs="Arial"/>
                <w:color w:val="808080" w:themeColor="background1" w:themeShade="80"/>
                <w:sz w:val="16"/>
                <w:szCs w:val="16"/>
              </w:rPr>
              <w:t>7</w:t>
            </w:r>
          </w:p>
        </w:tc>
        <w:tc>
          <w:tcPr>
            <w:tcW w:w="1229" w:type="dxa"/>
            <w:tcBorders>
              <w:lef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tc>
        <w:tc>
          <w:tcPr>
            <w:tcW w:w="2494" w:type="dxa"/>
          </w:tcPr>
          <w:p w:rsidR="004662E5" w:rsidRPr="002A4A50" w:rsidRDefault="00FA707D" w:rsidP="004662E5">
            <w:pPr>
              <w:rPr>
                <w:rFonts w:ascii="Calibri" w:hAnsi="Calibri" w:cs="Arial"/>
                <w:sz w:val="16"/>
                <w:szCs w:val="16"/>
              </w:rPr>
            </w:pPr>
            <w:r w:rsidRPr="002A4A50">
              <w:rPr>
                <w:rFonts w:ascii="Calibri" w:hAnsi="Calibri" w:cs="Arial"/>
                <w:sz w:val="16"/>
                <w:szCs w:val="16"/>
              </w:rPr>
              <w:t>QS09</w:t>
            </w:r>
          </w:p>
        </w:tc>
      </w:tr>
      <w:tr w:rsidR="002A4A50" w:rsidRPr="002A4A50" w:rsidTr="002A4A50">
        <w:tc>
          <w:tcPr>
            <w:tcW w:w="3652" w:type="dxa"/>
          </w:tcPr>
          <w:p w:rsidR="004662E5" w:rsidRPr="002A4A50" w:rsidRDefault="004662E5" w:rsidP="00FA707D">
            <w:pPr>
              <w:ind w:right="238"/>
              <w:jc w:val="both"/>
              <w:rPr>
                <w:rFonts w:cstheme="minorHAnsi"/>
                <w:color w:val="000000"/>
                <w:sz w:val="20"/>
                <w:szCs w:val="20"/>
              </w:rPr>
            </w:pPr>
            <w:r w:rsidRPr="002A4A50">
              <w:rPr>
                <w:rFonts w:cstheme="minorHAnsi"/>
                <w:color w:val="000000"/>
                <w:sz w:val="20"/>
                <w:szCs w:val="20"/>
              </w:rPr>
              <w:t>QS10</w:t>
            </w:r>
            <w:r w:rsidR="00FA707D" w:rsidRPr="002A4A50">
              <w:rPr>
                <w:rFonts w:cstheme="minorHAnsi"/>
                <w:color w:val="000000"/>
                <w:sz w:val="20"/>
                <w:szCs w:val="20"/>
              </w:rPr>
              <w:t xml:space="preserve"> </w:t>
            </w:r>
            <w:r w:rsidRPr="002A4A50">
              <w:rPr>
                <w:rFonts w:cstheme="minorHAnsi"/>
                <w:color w:val="000000"/>
                <w:sz w:val="20"/>
                <w:szCs w:val="20"/>
              </w:rPr>
              <w:t>Student Appeals and Grievances</w:t>
            </w:r>
          </w:p>
        </w:tc>
        <w:tc>
          <w:tcPr>
            <w:tcW w:w="2079" w:type="dxa"/>
            <w:tcBorders>
              <w:righ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tc>
        <w:tc>
          <w:tcPr>
            <w:tcW w:w="1228" w:type="dxa"/>
            <w:tcBorders>
              <w:left w:val="dotted" w:sz="4" w:space="0" w:color="auto"/>
              <w:righ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p w:rsidR="004662E5" w:rsidRPr="002A4A50" w:rsidRDefault="00FA707D" w:rsidP="00FA707D">
            <w:pPr>
              <w:jc w:val="center"/>
              <w:rPr>
                <w:rFonts w:ascii="Calibri" w:hAnsi="Calibri" w:cs="Arial"/>
                <w:sz w:val="16"/>
                <w:szCs w:val="16"/>
              </w:rPr>
            </w:pPr>
            <w:r w:rsidRPr="002A4A50">
              <w:rPr>
                <w:rFonts w:ascii="Calibri" w:hAnsi="Calibri" w:cs="Arial"/>
                <w:color w:val="808080" w:themeColor="background1" w:themeShade="80"/>
                <w:sz w:val="16"/>
                <w:szCs w:val="16"/>
              </w:rPr>
              <w:t>B.</w:t>
            </w:r>
            <w:r w:rsidR="004662E5" w:rsidRPr="002A4A50">
              <w:rPr>
                <w:rFonts w:ascii="Calibri" w:hAnsi="Calibri" w:cs="Arial"/>
                <w:color w:val="808080" w:themeColor="background1" w:themeShade="80"/>
                <w:sz w:val="16"/>
                <w:szCs w:val="16"/>
              </w:rPr>
              <w:t>9</w:t>
            </w:r>
          </w:p>
        </w:tc>
        <w:tc>
          <w:tcPr>
            <w:tcW w:w="1229" w:type="dxa"/>
            <w:tcBorders>
              <w:lef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tc>
        <w:tc>
          <w:tcPr>
            <w:tcW w:w="2494" w:type="dxa"/>
          </w:tcPr>
          <w:p w:rsidR="004662E5" w:rsidRPr="002A4A50" w:rsidRDefault="00FA707D" w:rsidP="004662E5">
            <w:pPr>
              <w:rPr>
                <w:rFonts w:ascii="Calibri" w:hAnsi="Calibri" w:cs="Arial"/>
                <w:sz w:val="16"/>
                <w:szCs w:val="16"/>
              </w:rPr>
            </w:pPr>
            <w:r w:rsidRPr="002A4A50">
              <w:rPr>
                <w:rFonts w:ascii="Calibri" w:hAnsi="Calibri" w:cs="Arial"/>
                <w:sz w:val="16"/>
                <w:szCs w:val="16"/>
              </w:rPr>
              <w:t>QS10</w:t>
            </w:r>
            <w:r w:rsidR="00DB4993">
              <w:rPr>
                <w:rFonts w:ascii="Calibri" w:hAnsi="Calibri" w:cs="Arial"/>
                <w:sz w:val="16"/>
                <w:szCs w:val="16"/>
              </w:rPr>
              <w:t>.1, QS10.2</w:t>
            </w:r>
          </w:p>
        </w:tc>
      </w:tr>
      <w:tr w:rsidR="002A4A50" w:rsidRPr="002A4A50" w:rsidTr="002A4A50">
        <w:tc>
          <w:tcPr>
            <w:tcW w:w="3652" w:type="dxa"/>
          </w:tcPr>
          <w:p w:rsidR="004662E5" w:rsidRPr="002A4A50" w:rsidRDefault="004662E5" w:rsidP="00DB4993">
            <w:pPr>
              <w:ind w:right="238"/>
              <w:jc w:val="both"/>
              <w:rPr>
                <w:rFonts w:cstheme="minorHAnsi"/>
                <w:color w:val="000000"/>
                <w:sz w:val="20"/>
                <w:szCs w:val="20"/>
              </w:rPr>
            </w:pPr>
            <w:r w:rsidRPr="002A4A50">
              <w:rPr>
                <w:rFonts w:cstheme="minorHAnsi"/>
                <w:color w:val="000000"/>
                <w:sz w:val="20"/>
                <w:szCs w:val="20"/>
              </w:rPr>
              <w:t>QS11</w:t>
            </w:r>
            <w:r w:rsidR="00FA707D" w:rsidRPr="002A4A50">
              <w:rPr>
                <w:rFonts w:cstheme="minorHAnsi"/>
                <w:color w:val="000000"/>
                <w:sz w:val="20"/>
                <w:szCs w:val="20"/>
              </w:rPr>
              <w:t xml:space="preserve"> </w:t>
            </w:r>
            <w:r w:rsidRPr="002A4A50">
              <w:rPr>
                <w:rFonts w:cstheme="minorHAnsi"/>
                <w:color w:val="000000"/>
                <w:sz w:val="20"/>
                <w:szCs w:val="20"/>
              </w:rPr>
              <w:t xml:space="preserve">Student </w:t>
            </w:r>
            <w:r w:rsidR="00DB4993">
              <w:rPr>
                <w:rFonts w:cstheme="minorHAnsi"/>
                <w:color w:val="000000"/>
                <w:sz w:val="20"/>
                <w:szCs w:val="20"/>
              </w:rPr>
              <w:t>Disciplinary</w:t>
            </w:r>
          </w:p>
        </w:tc>
        <w:tc>
          <w:tcPr>
            <w:tcW w:w="2079" w:type="dxa"/>
            <w:tcBorders>
              <w:righ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tc>
        <w:tc>
          <w:tcPr>
            <w:tcW w:w="1228" w:type="dxa"/>
            <w:tcBorders>
              <w:left w:val="dotted" w:sz="4" w:space="0" w:color="auto"/>
              <w:right w:val="dotted" w:sz="4" w:space="0" w:color="auto"/>
            </w:tcBorders>
          </w:tcPr>
          <w:p w:rsidR="004662E5" w:rsidRDefault="004662E5" w:rsidP="00DB4993">
            <w:pPr>
              <w:jc w:val="center"/>
              <w:rPr>
                <w:rFonts w:ascii="Calibri" w:hAnsi="Calibri" w:cs="Arial"/>
                <w:sz w:val="20"/>
                <w:szCs w:val="20"/>
              </w:rPr>
            </w:pPr>
            <w:r w:rsidRPr="002A4A50">
              <w:rPr>
                <w:rFonts w:ascii="Calibri" w:hAnsi="Calibri" w:cs="Arial"/>
                <w:sz w:val="20"/>
                <w:szCs w:val="20"/>
              </w:rPr>
              <w:sym w:font="Wingdings" w:char="F0FC"/>
            </w:r>
          </w:p>
          <w:p w:rsidR="00DB4993" w:rsidRPr="00DB4993" w:rsidRDefault="00DB4993" w:rsidP="00DB4993">
            <w:pPr>
              <w:jc w:val="center"/>
              <w:rPr>
                <w:rFonts w:ascii="Calibri" w:hAnsi="Calibri" w:cs="Arial"/>
                <w:sz w:val="20"/>
                <w:szCs w:val="20"/>
              </w:rPr>
            </w:pPr>
          </w:p>
        </w:tc>
        <w:tc>
          <w:tcPr>
            <w:tcW w:w="1229" w:type="dxa"/>
            <w:tcBorders>
              <w:left w:val="dotted" w:sz="4" w:space="0" w:color="auto"/>
            </w:tcBorders>
          </w:tcPr>
          <w:p w:rsidR="004662E5" w:rsidRPr="002A4A50" w:rsidRDefault="004662E5" w:rsidP="00FA707D">
            <w:pPr>
              <w:jc w:val="center"/>
              <w:rPr>
                <w:rFonts w:ascii="Calibri" w:hAnsi="Calibri" w:cs="Arial"/>
                <w:sz w:val="20"/>
                <w:szCs w:val="20"/>
              </w:rPr>
            </w:pPr>
            <w:r w:rsidRPr="002A4A50">
              <w:rPr>
                <w:rFonts w:ascii="Calibri" w:hAnsi="Calibri" w:cs="Arial"/>
                <w:sz w:val="20"/>
                <w:szCs w:val="20"/>
              </w:rPr>
              <w:sym w:font="Wingdings" w:char="F0FC"/>
            </w:r>
          </w:p>
        </w:tc>
        <w:tc>
          <w:tcPr>
            <w:tcW w:w="2494" w:type="dxa"/>
          </w:tcPr>
          <w:p w:rsidR="004662E5" w:rsidRPr="002A4A50" w:rsidRDefault="00DB4993" w:rsidP="004662E5">
            <w:pPr>
              <w:rPr>
                <w:rFonts w:ascii="Calibri" w:hAnsi="Calibri" w:cs="Arial"/>
                <w:sz w:val="16"/>
                <w:szCs w:val="16"/>
              </w:rPr>
            </w:pPr>
            <w:r>
              <w:rPr>
                <w:rFonts w:ascii="Calibri" w:hAnsi="Calibri" w:cs="Arial"/>
                <w:sz w:val="16"/>
                <w:szCs w:val="16"/>
              </w:rPr>
              <w:t>-</w:t>
            </w:r>
          </w:p>
        </w:tc>
      </w:tr>
    </w:tbl>
    <w:p w:rsidR="00480434" w:rsidRDefault="00480434" w:rsidP="005F1962">
      <w:pPr>
        <w:spacing w:after="0" w:line="240" w:lineRule="auto"/>
        <w:rPr>
          <w:rFonts w:ascii="Calibri" w:hAnsi="Calibri" w:cs="Arial"/>
        </w:rPr>
      </w:pPr>
    </w:p>
    <w:p w:rsidR="00FA707D" w:rsidRDefault="002A4A50" w:rsidP="005F1962">
      <w:pPr>
        <w:spacing w:after="0" w:line="240" w:lineRule="auto"/>
        <w:rPr>
          <w:rFonts w:ascii="Calibri" w:hAnsi="Calibri" w:cs="Arial"/>
        </w:rPr>
      </w:pPr>
      <w:r>
        <w:rPr>
          <w:rFonts w:ascii="Calibri" w:hAnsi="Calibri" w:cs="Arial"/>
        </w:rPr>
        <w:t xml:space="preserve">External Reference </w:t>
      </w:r>
      <w:r w:rsidR="00FA707D">
        <w:rPr>
          <w:rFonts w:ascii="Calibri" w:hAnsi="Calibri" w:cs="Arial"/>
        </w:rPr>
        <w:t>QAA Quality Code</w:t>
      </w:r>
      <w:r>
        <w:rPr>
          <w:rFonts w:ascii="Calibri" w:hAnsi="Calibri" w:cs="Arial"/>
        </w:rPr>
        <w:t>:</w:t>
      </w:r>
    </w:p>
    <w:p w:rsidR="002A4A50" w:rsidRDefault="002A4A50" w:rsidP="005F1962">
      <w:pPr>
        <w:spacing w:after="0" w:line="240" w:lineRule="auto"/>
        <w:rPr>
          <w:rFonts w:ascii="Calibri" w:hAnsi="Calibri" w:cs="Arial"/>
        </w:rPr>
      </w:pPr>
    </w:p>
    <w:tbl>
      <w:tblPr>
        <w:tblStyle w:val="TableGrid"/>
        <w:tblW w:w="0" w:type="auto"/>
        <w:tblLook w:val="04A0" w:firstRow="1" w:lastRow="0" w:firstColumn="1" w:lastColumn="0" w:noHBand="0" w:noVBand="1"/>
      </w:tblPr>
      <w:tblGrid>
        <w:gridCol w:w="1384"/>
        <w:gridCol w:w="1418"/>
        <w:gridCol w:w="5386"/>
      </w:tblGrid>
      <w:tr w:rsidR="000C72F0" w:rsidRPr="00F633A7" w:rsidTr="002A4A50">
        <w:tc>
          <w:tcPr>
            <w:tcW w:w="1384" w:type="dxa"/>
            <w:tcBorders>
              <w:bottom w:val="single" w:sz="4" w:space="0" w:color="auto"/>
            </w:tcBorders>
          </w:tcPr>
          <w:p w:rsidR="002A4A50" w:rsidRPr="00F633A7" w:rsidRDefault="002A4A50" w:rsidP="002A4A50">
            <w:pPr>
              <w:rPr>
                <w:sz w:val="20"/>
                <w:szCs w:val="20"/>
              </w:rPr>
            </w:pPr>
            <w:r w:rsidRPr="00F633A7">
              <w:rPr>
                <w:sz w:val="20"/>
                <w:szCs w:val="20"/>
              </w:rPr>
              <w:t>QAA Part</w:t>
            </w:r>
          </w:p>
        </w:tc>
        <w:tc>
          <w:tcPr>
            <w:tcW w:w="1418" w:type="dxa"/>
            <w:tcBorders>
              <w:bottom w:val="single" w:sz="4" w:space="0" w:color="auto"/>
            </w:tcBorders>
          </w:tcPr>
          <w:p w:rsidR="000C72F0" w:rsidRPr="00F633A7" w:rsidRDefault="002A4A50" w:rsidP="002A4A50">
            <w:pPr>
              <w:rPr>
                <w:sz w:val="20"/>
                <w:szCs w:val="20"/>
              </w:rPr>
            </w:pPr>
            <w:r w:rsidRPr="00F633A7">
              <w:rPr>
                <w:sz w:val="20"/>
                <w:szCs w:val="20"/>
              </w:rPr>
              <w:t>Section</w:t>
            </w:r>
          </w:p>
        </w:tc>
        <w:tc>
          <w:tcPr>
            <w:tcW w:w="5386" w:type="dxa"/>
            <w:tcBorders>
              <w:bottom w:val="single" w:sz="4" w:space="0" w:color="auto"/>
            </w:tcBorders>
          </w:tcPr>
          <w:p w:rsidR="000C72F0" w:rsidRPr="00F633A7" w:rsidRDefault="002A4A50" w:rsidP="002A4A50">
            <w:pPr>
              <w:rPr>
                <w:sz w:val="20"/>
                <w:szCs w:val="20"/>
              </w:rPr>
            </w:pPr>
            <w:r w:rsidRPr="00F633A7">
              <w:rPr>
                <w:sz w:val="20"/>
                <w:szCs w:val="20"/>
              </w:rPr>
              <w:t>Chapter</w:t>
            </w:r>
          </w:p>
        </w:tc>
      </w:tr>
      <w:tr w:rsidR="000C72F0" w:rsidRPr="00F633A7" w:rsidTr="002A4A50">
        <w:tc>
          <w:tcPr>
            <w:tcW w:w="1384" w:type="dxa"/>
            <w:vMerge w:val="restart"/>
          </w:tcPr>
          <w:p w:rsidR="000C72F0" w:rsidRPr="00F633A7" w:rsidRDefault="000C72F0" w:rsidP="002A4A50">
            <w:pPr>
              <w:rPr>
                <w:sz w:val="20"/>
                <w:szCs w:val="20"/>
              </w:rPr>
            </w:pPr>
            <w:r w:rsidRPr="00F633A7">
              <w:rPr>
                <w:sz w:val="20"/>
                <w:szCs w:val="20"/>
              </w:rPr>
              <w:t>Part A</w:t>
            </w:r>
          </w:p>
        </w:tc>
        <w:tc>
          <w:tcPr>
            <w:tcW w:w="1418" w:type="dxa"/>
          </w:tcPr>
          <w:p w:rsidR="000C72F0" w:rsidRPr="00F633A7" w:rsidRDefault="000C72F0" w:rsidP="002A4A50">
            <w:pPr>
              <w:rPr>
                <w:sz w:val="20"/>
                <w:szCs w:val="20"/>
              </w:rPr>
            </w:pPr>
            <w:r w:rsidRPr="00F633A7">
              <w:rPr>
                <w:sz w:val="20"/>
                <w:szCs w:val="20"/>
              </w:rPr>
              <w:t>A.1</w:t>
            </w:r>
          </w:p>
        </w:tc>
        <w:tc>
          <w:tcPr>
            <w:tcW w:w="5386" w:type="dxa"/>
          </w:tcPr>
          <w:p w:rsidR="000C72F0" w:rsidRPr="00F633A7" w:rsidRDefault="000C72F0" w:rsidP="002A4A50">
            <w:pPr>
              <w:rPr>
                <w:sz w:val="20"/>
                <w:szCs w:val="20"/>
              </w:rPr>
            </w:pPr>
            <w:r w:rsidRPr="00F633A7">
              <w:rPr>
                <w:sz w:val="20"/>
                <w:szCs w:val="20"/>
              </w:rPr>
              <w:t>The National Level</w:t>
            </w:r>
          </w:p>
        </w:tc>
      </w:tr>
      <w:tr w:rsidR="000C72F0" w:rsidRPr="00F633A7" w:rsidTr="002A4A50">
        <w:tc>
          <w:tcPr>
            <w:tcW w:w="1384" w:type="dxa"/>
            <w:vMerge/>
          </w:tcPr>
          <w:p w:rsidR="000C72F0" w:rsidRPr="00F633A7" w:rsidRDefault="000C72F0" w:rsidP="002A4A50">
            <w:pPr>
              <w:rPr>
                <w:sz w:val="20"/>
                <w:szCs w:val="20"/>
              </w:rPr>
            </w:pPr>
          </w:p>
        </w:tc>
        <w:tc>
          <w:tcPr>
            <w:tcW w:w="1418" w:type="dxa"/>
          </w:tcPr>
          <w:p w:rsidR="000C72F0" w:rsidRPr="00F633A7" w:rsidRDefault="000C72F0" w:rsidP="002A4A50">
            <w:pPr>
              <w:rPr>
                <w:sz w:val="20"/>
                <w:szCs w:val="20"/>
              </w:rPr>
            </w:pPr>
            <w:r w:rsidRPr="00F633A7">
              <w:rPr>
                <w:sz w:val="20"/>
                <w:szCs w:val="20"/>
              </w:rPr>
              <w:t>A.2</w:t>
            </w:r>
          </w:p>
        </w:tc>
        <w:tc>
          <w:tcPr>
            <w:tcW w:w="5386" w:type="dxa"/>
          </w:tcPr>
          <w:p w:rsidR="000C72F0" w:rsidRPr="00F633A7" w:rsidRDefault="000C72F0" w:rsidP="002A4A50">
            <w:pPr>
              <w:rPr>
                <w:sz w:val="20"/>
                <w:szCs w:val="20"/>
              </w:rPr>
            </w:pPr>
            <w:r w:rsidRPr="00F633A7">
              <w:rPr>
                <w:sz w:val="20"/>
                <w:szCs w:val="20"/>
              </w:rPr>
              <w:t>The Subject and Qualification Level</w:t>
            </w:r>
          </w:p>
        </w:tc>
      </w:tr>
      <w:tr w:rsidR="000C72F0" w:rsidRPr="00F633A7" w:rsidTr="002A4A50">
        <w:tc>
          <w:tcPr>
            <w:tcW w:w="1384" w:type="dxa"/>
            <w:vMerge/>
          </w:tcPr>
          <w:p w:rsidR="000C72F0" w:rsidRPr="00F633A7" w:rsidRDefault="000C72F0" w:rsidP="002A4A50">
            <w:pPr>
              <w:rPr>
                <w:sz w:val="20"/>
                <w:szCs w:val="20"/>
              </w:rPr>
            </w:pPr>
          </w:p>
        </w:tc>
        <w:tc>
          <w:tcPr>
            <w:tcW w:w="1418" w:type="dxa"/>
          </w:tcPr>
          <w:p w:rsidR="000C72F0" w:rsidRPr="00F633A7" w:rsidRDefault="000C72F0" w:rsidP="002A4A50">
            <w:pPr>
              <w:rPr>
                <w:sz w:val="20"/>
                <w:szCs w:val="20"/>
              </w:rPr>
            </w:pPr>
            <w:r w:rsidRPr="00F633A7">
              <w:rPr>
                <w:sz w:val="20"/>
                <w:szCs w:val="20"/>
              </w:rPr>
              <w:t>A.3</w:t>
            </w:r>
          </w:p>
        </w:tc>
        <w:tc>
          <w:tcPr>
            <w:tcW w:w="5386" w:type="dxa"/>
          </w:tcPr>
          <w:p w:rsidR="000C72F0" w:rsidRPr="00F633A7" w:rsidRDefault="000C72F0" w:rsidP="002A4A50">
            <w:pPr>
              <w:rPr>
                <w:sz w:val="20"/>
                <w:szCs w:val="20"/>
              </w:rPr>
            </w:pPr>
            <w:r w:rsidRPr="00F633A7">
              <w:rPr>
                <w:sz w:val="20"/>
                <w:szCs w:val="20"/>
              </w:rPr>
              <w:t>The Programme Level</w:t>
            </w:r>
          </w:p>
        </w:tc>
      </w:tr>
      <w:tr w:rsidR="000C72F0" w:rsidRPr="00F633A7" w:rsidTr="002A4A50">
        <w:tc>
          <w:tcPr>
            <w:tcW w:w="1384" w:type="dxa"/>
            <w:vMerge/>
          </w:tcPr>
          <w:p w:rsidR="000C72F0" w:rsidRPr="00F633A7" w:rsidRDefault="000C72F0" w:rsidP="002A4A50">
            <w:pPr>
              <w:rPr>
                <w:sz w:val="20"/>
                <w:szCs w:val="20"/>
              </w:rPr>
            </w:pPr>
          </w:p>
        </w:tc>
        <w:tc>
          <w:tcPr>
            <w:tcW w:w="1418" w:type="dxa"/>
          </w:tcPr>
          <w:p w:rsidR="000C72F0" w:rsidRPr="00F633A7" w:rsidRDefault="000C72F0" w:rsidP="002A4A50">
            <w:pPr>
              <w:rPr>
                <w:sz w:val="20"/>
                <w:szCs w:val="20"/>
              </w:rPr>
            </w:pPr>
            <w:r w:rsidRPr="00F633A7">
              <w:rPr>
                <w:sz w:val="20"/>
                <w:szCs w:val="20"/>
              </w:rPr>
              <w:t>A.4</w:t>
            </w:r>
          </w:p>
        </w:tc>
        <w:tc>
          <w:tcPr>
            <w:tcW w:w="5386" w:type="dxa"/>
          </w:tcPr>
          <w:p w:rsidR="000C72F0" w:rsidRPr="00F633A7" w:rsidRDefault="000C72F0" w:rsidP="002A4A50">
            <w:pPr>
              <w:rPr>
                <w:sz w:val="20"/>
                <w:szCs w:val="20"/>
              </w:rPr>
            </w:pPr>
            <w:r w:rsidRPr="00F633A7">
              <w:rPr>
                <w:sz w:val="20"/>
                <w:szCs w:val="20"/>
              </w:rPr>
              <w:t>Approval and Review</w:t>
            </w:r>
          </w:p>
        </w:tc>
      </w:tr>
      <w:tr w:rsidR="000C72F0" w:rsidRPr="00F633A7" w:rsidTr="002A4A50">
        <w:tc>
          <w:tcPr>
            <w:tcW w:w="1384" w:type="dxa"/>
            <w:vMerge/>
          </w:tcPr>
          <w:p w:rsidR="000C72F0" w:rsidRPr="00F633A7" w:rsidRDefault="000C72F0" w:rsidP="002A4A50">
            <w:pPr>
              <w:rPr>
                <w:sz w:val="20"/>
                <w:szCs w:val="20"/>
              </w:rPr>
            </w:pPr>
          </w:p>
        </w:tc>
        <w:tc>
          <w:tcPr>
            <w:tcW w:w="1418" w:type="dxa"/>
          </w:tcPr>
          <w:p w:rsidR="000C72F0" w:rsidRPr="00F633A7" w:rsidRDefault="000C72F0" w:rsidP="002A4A50">
            <w:pPr>
              <w:rPr>
                <w:sz w:val="20"/>
                <w:szCs w:val="20"/>
              </w:rPr>
            </w:pPr>
            <w:r w:rsidRPr="00F633A7">
              <w:rPr>
                <w:sz w:val="20"/>
                <w:szCs w:val="20"/>
              </w:rPr>
              <w:t>A.5</w:t>
            </w:r>
          </w:p>
        </w:tc>
        <w:tc>
          <w:tcPr>
            <w:tcW w:w="5386" w:type="dxa"/>
          </w:tcPr>
          <w:p w:rsidR="000C72F0" w:rsidRPr="00F633A7" w:rsidRDefault="000C72F0" w:rsidP="002A4A50">
            <w:pPr>
              <w:rPr>
                <w:sz w:val="20"/>
                <w:szCs w:val="20"/>
              </w:rPr>
            </w:pPr>
            <w:r w:rsidRPr="00F633A7">
              <w:rPr>
                <w:sz w:val="20"/>
                <w:szCs w:val="20"/>
              </w:rPr>
              <w:t>Externality</w:t>
            </w:r>
          </w:p>
        </w:tc>
      </w:tr>
      <w:tr w:rsidR="000C72F0" w:rsidRPr="00F633A7" w:rsidTr="002A4A50">
        <w:tc>
          <w:tcPr>
            <w:tcW w:w="1384" w:type="dxa"/>
            <w:vMerge/>
            <w:tcBorders>
              <w:bottom w:val="double" w:sz="4" w:space="0" w:color="auto"/>
            </w:tcBorders>
          </w:tcPr>
          <w:p w:rsidR="000C72F0" w:rsidRPr="00F633A7" w:rsidRDefault="000C72F0" w:rsidP="002A4A50">
            <w:pPr>
              <w:rPr>
                <w:sz w:val="20"/>
                <w:szCs w:val="20"/>
              </w:rPr>
            </w:pPr>
          </w:p>
        </w:tc>
        <w:tc>
          <w:tcPr>
            <w:tcW w:w="1418" w:type="dxa"/>
            <w:tcBorders>
              <w:bottom w:val="double" w:sz="4" w:space="0" w:color="auto"/>
            </w:tcBorders>
          </w:tcPr>
          <w:p w:rsidR="000C72F0" w:rsidRPr="00F633A7" w:rsidRDefault="000C72F0" w:rsidP="002A4A50">
            <w:pPr>
              <w:rPr>
                <w:sz w:val="20"/>
                <w:szCs w:val="20"/>
              </w:rPr>
            </w:pPr>
            <w:r w:rsidRPr="00F633A7">
              <w:rPr>
                <w:sz w:val="20"/>
                <w:szCs w:val="20"/>
              </w:rPr>
              <w:t>A.6</w:t>
            </w:r>
          </w:p>
        </w:tc>
        <w:tc>
          <w:tcPr>
            <w:tcW w:w="5386" w:type="dxa"/>
            <w:tcBorders>
              <w:bottom w:val="double" w:sz="4" w:space="0" w:color="auto"/>
            </w:tcBorders>
          </w:tcPr>
          <w:p w:rsidR="000C72F0" w:rsidRPr="00F633A7" w:rsidRDefault="000C72F0" w:rsidP="002A4A50">
            <w:pPr>
              <w:rPr>
                <w:sz w:val="20"/>
                <w:szCs w:val="20"/>
              </w:rPr>
            </w:pPr>
            <w:r w:rsidRPr="00F633A7">
              <w:rPr>
                <w:sz w:val="20"/>
                <w:szCs w:val="20"/>
              </w:rPr>
              <w:t>Assessment of Achievement of Learning Outcomes</w:t>
            </w:r>
          </w:p>
        </w:tc>
      </w:tr>
      <w:tr w:rsidR="000C72F0" w:rsidRPr="00F633A7" w:rsidTr="002A4A50">
        <w:tc>
          <w:tcPr>
            <w:tcW w:w="1384" w:type="dxa"/>
            <w:vMerge w:val="restart"/>
            <w:tcBorders>
              <w:top w:val="double" w:sz="4" w:space="0" w:color="auto"/>
            </w:tcBorders>
          </w:tcPr>
          <w:p w:rsidR="000C72F0" w:rsidRPr="00F633A7" w:rsidRDefault="000C72F0" w:rsidP="002A4A50">
            <w:pPr>
              <w:rPr>
                <w:sz w:val="20"/>
                <w:szCs w:val="20"/>
              </w:rPr>
            </w:pPr>
            <w:r w:rsidRPr="00F633A7">
              <w:rPr>
                <w:sz w:val="20"/>
                <w:szCs w:val="20"/>
              </w:rPr>
              <w:t>Part B</w:t>
            </w:r>
          </w:p>
        </w:tc>
        <w:tc>
          <w:tcPr>
            <w:tcW w:w="1418" w:type="dxa"/>
            <w:tcBorders>
              <w:top w:val="double" w:sz="4" w:space="0" w:color="auto"/>
            </w:tcBorders>
          </w:tcPr>
          <w:p w:rsidR="000C72F0" w:rsidRPr="00F633A7" w:rsidRDefault="000C72F0" w:rsidP="002A4A50">
            <w:pPr>
              <w:rPr>
                <w:sz w:val="20"/>
                <w:szCs w:val="20"/>
              </w:rPr>
            </w:pPr>
            <w:r w:rsidRPr="00F633A7">
              <w:rPr>
                <w:sz w:val="20"/>
                <w:szCs w:val="20"/>
              </w:rPr>
              <w:t>B.1</w:t>
            </w:r>
          </w:p>
        </w:tc>
        <w:tc>
          <w:tcPr>
            <w:tcW w:w="5386" w:type="dxa"/>
            <w:tcBorders>
              <w:top w:val="double" w:sz="4" w:space="0" w:color="auto"/>
            </w:tcBorders>
          </w:tcPr>
          <w:p w:rsidR="000C72F0" w:rsidRPr="00F633A7" w:rsidRDefault="000C72F0" w:rsidP="002A4A50">
            <w:pPr>
              <w:rPr>
                <w:sz w:val="20"/>
                <w:szCs w:val="20"/>
              </w:rPr>
            </w:pPr>
            <w:r w:rsidRPr="00F633A7">
              <w:rPr>
                <w:sz w:val="20"/>
                <w:szCs w:val="20"/>
              </w:rPr>
              <w:t>Programme Design and Approval</w:t>
            </w:r>
          </w:p>
        </w:tc>
      </w:tr>
      <w:tr w:rsidR="000C72F0" w:rsidRPr="00F633A7" w:rsidTr="002A4A50">
        <w:tc>
          <w:tcPr>
            <w:tcW w:w="1384" w:type="dxa"/>
            <w:vMerge/>
          </w:tcPr>
          <w:p w:rsidR="000C72F0" w:rsidRPr="00F633A7" w:rsidRDefault="000C72F0" w:rsidP="002A4A50">
            <w:pPr>
              <w:rPr>
                <w:sz w:val="20"/>
                <w:szCs w:val="20"/>
              </w:rPr>
            </w:pPr>
          </w:p>
        </w:tc>
        <w:tc>
          <w:tcPr>
            <w:tcW w:w="1418" w:type="dxa"/>
          </w:tcPr>
          <w:p w:rsidR="000C72F0" w:rsidRPr="00F633A7" w:rsidRDefault="000C72F0" w:rsidP="002A4A50">
            <w:pPr>
              <w:rPr>
                <w:sz w:val="20"/>
                <w:szCs w:val="20"/>
              </w:rPr>
            </w:pPr>
            <w:r w:rsidRPr="00F633A7">
              <w:rPr>
                <w:sz w:val="20"/>
                <w:szCs w:val="20"/>
              </w:rPr>
              <w:t>B.2</w:t>
            </w:r>
          </w:p>
        </w:tc>
        <w:tc>
          <w:tcPr>
            <w:tcW w:w="5386" w:type="dxa"/>
          </w:tcPr>
          <w:p w:rsidR="000C72F0" w:rsidRPr="00F633A7" w:rsidRDefault="000C72F0" w:rsidP="002A4A50">
            <w:pPr>
              <w:rPr>
                <w:sz w:val="20"/>
                <w:szCs w:val="20"/>
              </w:rPr>
            </w:pPr>
            <w:r w:rsidRPr="00F633A7">
              <w:rPr>
                <w:sz w:val="20"/>
                <w:szCs w:val="20"/>
              </w:rPr>
              <w:t>Admissions</w:t>
            </w:r>
          </w:p>
        </w:tc>
      </w:tr>
      <w:tr w:rsidR="000C72F0" w:rsidRPr="00F633A7" w:rsidTr="002A4A50">
        <w:tc>
          <w:tcPr>
            <w:tcW w:w="1384" w:type="dxa"/>
            <w:vMerge/>
          </w:tcPr>
          <w:p w:rsidR="000C72F0" w:rsidRPr="00F633A7" w:rsidRDefault="000C72F0" w:rsidP="002A4A50">
            <w:pPr>
              <w:rPr>
                <w:sz w:val="20"/>
                <w:szCs w:val="20"/>
              </w:rPr>
            </w:pPr>
          </w:p>
        </w:tc>
        <w:tc>
          <w:tcPr>
            <w:tcW w:w="1418" w:type="dxa"/>
          </w:tcPr>
          <w:p w:rsidR="000C72F0" w:rsidRPr="00F633A7" w:rsidRDefault="000C72F0" w:rsidP="002A4A50">
            <w:pPr>
              <w:rPr>
                <w:sz w:val="20"/>
                <w:szCs w:val="20"/>
              </w:rPr>
            </w:pPr>
            <w:r w:rsidRPr="00F633A7">
              <w:rPr>
                <w:sz w:val="20"/>
                <w:szCs w:val="20"/>
              </w:rPr>
              <w:t>B.3</w:t>
            </w:r>
          </w:p>
        </w:tc>
        <w:tc>
          <w:tcPr>
            <w:tcW w:w="5386" w:type="dxa"/>
          </w:tcPr>
          <w:p w:rsidR="000C72F0" w:rsidRPr="00F633A7" w:rsidRDefault="000C72F0" w:rsidP="002A4A50">
            <w:pPr>
              <w:rPr>
                <w:sz w:val="20"/>
                <w:szCs w:val="20"/>
              </w:rPr>
            </w:pPr>
            <w:r w:rsidRPr="00F633A7">
              <w:rPr>
                <w:sz w:val="20"/>
                <w:szCs w:val="20"/>
              </w:rPr>
              <w:t>Learning and Teaching</w:t>
            </w:r>
          </w:p>
        </w:tc>
      </w:tr>
      <w:tr w:rsidR="000C72F0" w:rsidRPr="00F633A7" w:rsidTr="002A4A50">
        <w:tc>
          <w:tcPr>
            <w:tcW w:w="1384" w:type="dxa"/>
            <w:vMerge/>
          </w:tcPr>
          <w:p w:rsidR="000C72F0" w:rsidRPr="00F633A7" w:rsidRDefault="000C72F0" w:rsidP="002A4A50">
            <w:pPr>
              <w:rPr>
                <w:sz w:val="20"/>
                <w:szCs w:val="20"/>
              </w:rPr>
            </w:pPr>
          </w:p>
        </w:tc>
        <w:tc>
          <w:tcPr>
            <w:tcW w:w="1418" w:type="dxa"/>
          </w:tcPr>
          <w:p w:rsidR="000C72F0" w:rsidRPr="00F633A7" w:rsidRDefault="000C72F0" w:rsidP="002A4A50">
            <w:pPr>
              <w:rPr>
                <w:sz w:val="20"/>
                <w:szCs w:val="20"/>
              </w:rPr>
            </w:pPr>
            <w:r w:rsidRPr="00F633A7">
              <w:rPr>
                <w:sz w:val="20"/>
                <w:szCs w:val="20"/>
              </w:rPr>
              <w:t>B.4</w:t>
            </w:r>
          </w:p>
        </w:tc>
        <w:tc>
          <w:tcPr>
            <w:tcW w:w="5386" w:type="dxa"/>
          </w:tcPr>
          <w:p w:rsidR="000C72F0" w:rsidRPr="00F633A7" w:rsidRDefault="000C72F0" w:rsidP="002A4A50">
            <w:pPr>
              <w:rPr>
                <w:sz w:val="20"/>
                <w:szCs w:val="20"/>
              </w:rPr>
            </w:pPr>
            <w:r w:rsidRPr="00F633A7">
              <w:rPr>
                <w:sz w:val="20"/>
                <w:szCs w:val="20"/>
              </w:rPr>
              <w:t>Enabling Student Development and Achievement</w:t>
            </w:r>
          </w:p>
        </w:tc>
      </w:tr>
      <w:tr w:rsidR="000C72F0" w:rsidRPr="00F633A7" w:rsidTr="002A4A50">
        <w:tc>
          <w:tcPr>
            <w:tcW w:w="1384" w:type="dxa"/>
            <w:vMerge/>
          </w:tcPr>
          <w:p w:rsidR="000C72F0" w:rsidRPr="00F633A7" w:rsidRDefault="000C72F0" w:rsidP="002A4A50">
            <w:pPr>
              <w:rPr>
                <w:sz w:val="20"/>
                <w:szCs w:val="20"/>
              </w:rPr>
            </w:pPr>
          </w:p>
        </w:tc>
        <w:tc>
          <w:tcPr>
            <w:tcW w:w="1418" w:type="dxa"/>
          </w:tcPr>
          <w:p w:rsidR="000C72F0" w:rsidRPr="00F633A7" w:rsidRDefault="000C72F0" w:rsidP="002A4A50">
            <w:pPr>
              <w:rPr>
                <w:sz w:val="20"/>
                <w:szCs w:val="20"/>
              </w:rPr>
            </w:pPr>
            <w:r w:rsidRPr="00F633A7">
              <w:rPr>
                <w:sz w:val="20"/>
                <w:szCs w:val="20"/>
              </w:rPr>
              <w:t>B.5</w:t>
            </w:r>
          </w:p>
        </w:tc>
        <w:tc>
          <w:tcPr>
            <w:tcW w:w="5386" w:type="dxa"/>
          </w:tcPr>
          <w:p w:rsidR="000C72F0" w:rsidRPr="00F633A7" w:rsidRDefault="000C72F0" w:rsidP="002A4A50">
            <w:pPr>
              <w:rPr>
                <w:sz w:val="20"/>
                <w:szCs w:val="20"/>
              </w:rPr>
            </w:pPr>
            <w:r w:rsidRPr="00F633A7">
              <w:rPr>
                <w:sz w:val="20"/>
                <w:szCs w:val="20"/>
              </w:rPr>
              <w:t>Student Engagement</w:t>
            </w:r>
          </w:p>
        </w:tc>
      </w:tr>
      <w:tr w:rsidR="000C72F0" w:rsidRPr="00F633A7" w:rsidTr="002A4A50">
        <w:tc>
          <w:tcPr>
            <w:tcW w:w="1384" w:type="dxa"/>
            <w:vMerge/>
          </w:tcPr>
          <w:p w:rsidR="000C72F0" w:rsidRPr="00F633A7" w:rsidRDefault="000C72F0" w:rsidP="002A4A50">
            <w:pPr>
              <w:rPr>
                <w:sz w:val="20"/>
                <w:szCs w:val="20"/>
              </w:rPr>
            </w:pPr>
          </w:p>
        </w:tc>
        <w:tc>
          <w:tcPr>
            <w:tcW w:w="1418" w:type="dxa"/>
          </w:tcPr>
          <w:p w:rsidR="000C72F0" w:rsidRPr="00F633A7" w:rsidRDefault="000C72F0" w:rsidP="002A4A50">
            <w:pPr>
              <w:rPr>
                <w:sz w:val="20"/>
                <w:szCs w:val="20"/>
              </w:rPr>
            </w:pPr>
            <w:r w:rsidRPr="00F633A7">
              <w:rPr>
                <w:sz w:val="20"/>
                <w:szCs w:val="20"/>
              </w:rPr>
              <w:t>B.6</w:t>
            </w:r>
          </w:p>
        </w:tc>
        <w:tc>
          <w:tcPr>
            <w:tcW w:w="5386" w:type="dxa"/>
          </w:tcPr>
          <w:p w:rsidR="000C72F0" w:rsidRPr="00F633A7" w:rsidRDefault="000C72F0" w:rsidP="002A4A50">
            <w:pPr>
              <w:rPr>
                <w:sz w:val="20"/>
                <w:szCs w:val="20"/>
              </w:rPr>
            </w:pPr>
            <w:r w:rsidRPr="00F633A7">
              <w:rPr>
                <w:sz w:val="20"/>
                <w:szCs w:val="20"/>
              </w:rPr>
              <w:t>Assessment of Student and Accreditation of Prior Learning</w:t>
            </w:r>
          </w:p>
        </w:tc>
      </w:tr>
      <w:tr w:rsidR="000C72F0" w:rsidRPr="00F633A7" w:rsidTr="002A4A50">
        <w:tc>
          <w:tcPr>
            <w:tcW w:w="1384" w:type="dxa"/>
            <w:vMerge/>
          </w:tcPr>
          <w:p w:rsidR="000C72F0" w:rsidRPr="00F633A7" w:rsidRDefault="000C72F0" w:rsidP="002A4A50">
            <w:pPr>
              <w:rPr>
                <w:sz w:val="20"/>
                <w:szCs w:val="20"/>
              </w:rPr>
            </w:pPr>
          </w:p>
        </w:tc>
        <w:tc>
          <w:tcPr>
            <w:tcW w:w="1418" w:type="dxa"/>
          </w:tcPr>
          <w:p w:rsidR="000C72F0" w:rsidRPr="00F633A7" w:rsidRDefault="000C72F0" w:rsidP="002A4A50">
            <w:pPr>
              <w:rPr>
                <w:sz w:val="20"/>
                <w:szCs w:val="20"/>
              </w:rPr>
            </w:pPr>
            <w:r w:rsidRPr="00F633A7">
              <w:rPr>
                <w:sz w:val="20"/>
                <w:szCs w:val="20"/>
              </w:rPr>
              <w:t>B.7</w:t>
            </w:r>
          </w:p>
        </w:tc>
        <w:tc>
          <w:tcPr>
            <w:tcW w:w="5386" w:type="dxa"/>
          </w:tcPr>
          <w:p w:rsidR="000C72F0" w:rsidRPr="00F633A7" w:rsidRDefault="000C72F0" w:rsidP="002A4A50">
            <w:pPr>
              <w:rPr>
                <w:sz w:val="20"/>
                <w:szCs w:val="20"/>
              </w:rPr>
            </w:pPr>
            <w:r w:rsidRPr="00F633A7">
              <w:rPr>
                <w:sz w:val="20"/>
                <w:szCs w:val="20"/>
              </w:rPr>
              <w:t>External Examining</w:t>
            </w:r>
          </w:p>
        </w:tc>
      </w:tr>
      <w:tr w:rsidR="000C72F0" w:rsidRPr="00F633A7" w:rsidTr="002A4A50">
        <w:tc>
          <w:tcPr>
            <w:tcW w:w="1384" w:type="dxa"/>
            <w:vMerge/>
          </w:tcPr>
          <w:p w:rsidR="000C72F0" w:rsidRPr="00F633A7" w:rsidRDefault="000C72F0" w:rsidP="002A4A50">
            <w:pPr>
              <w:rPr>
                <w:sz w:val="20"/>
                <w:szCs w:val="20"/>
              </w:rPr>
            </w:pPr>
          </w:p>
        </w:tc>
        <w:tc>
          <w:tcPr>
            <w:tcW w:w="1418" w:type="dxa"/>
          </w:tcPr>
          <w:p w:rsidR="000C72F0" w:rsidRPr="00F633A7" w:rsidRDefault="000C72F0" w:rsidP="002A4A50">
            <w:pPr>
              <w:rPr>
                <w:sz w:val="20"/>
                <w:szCs w:val="20"/>
              </w:rPr>
            </w:pPr>
            <w:r w:rsidRPr="00F633A7">
              <w:rPr>
                <w:sz w:val="20"/>
                <w:szCs w:val="20"/>
              </w:rPr>
              <w:t>B.8</w:t>
            </w:r>
          </w:p>
        </w:tc>
        <w:tc>
          <w:tcPr>
            <w:tcW w:w="5386" w:type="dxa"/>
          </w:tcPr>
          <w:p w:rsidR="000C72F0" w:rsidRPr="00F633A7" w:rsidRDefault="000C72F0" w:rsidP="002A4A50">
            <w:pPr>
              <w:rPr>
                <w:sz w:val="20"/>
                <w:szCs w:val="20"/>
              </w:rPr>
            </w:pPr>
            <w:r w:rsidRPr="00F633A7">
              <w:rPr>
                <w:sz w:val="20"/>
                <w:szCs w:val="20"/>
              </w:rPr>
              <w:t>Programme Monitoring and Review</w:t>
            </w:r>
          </w:p>
        </w:tc>
      </w:tr>
      <w:tr w:rsidR="000C72F0" w:rsidRPr="00F633A7" w:rsidTr="002A4A50">
        <w:tc>
          <w:tcPr>
            <w:tcW w:w="1384" w:type="dxa"/>
            <w:vMerge/>
          </w:tcPr>
          <w:p w:rsidR="000C72F0" w:rsidRPr="00F633A7" w:rsidRDefault="000C72F0" w:rsidP="002A4A50">
            <w:pPr>
              <w:rPr>
                <w:sz w:val="20"/>
                <w:szCs w:val="20"/>
              </w:rPr>
            </w:pPr>
          </w:p>
        </w:tc>
        <w:tc>
          <w:tcPr>
            <w:tcW w:w="1418" w:type="dxa"/>
          </w:tcPr>
          <w:p w:rsidR="000C72F0" w:rsidRPr="00F633A7" w:rsidRDefault="000C72F0" w:rsidP="002A4A50">
            <w:pPr>
              <w:rPr>
                <w:sz w:val="20"/>
                <w:szCs w:val="20"/>
              </w:rPr>
            </w:pPr>
            <w:r w:rsidRPr="00F633A7">
              <w:rPr>
                <w:sz w:val="20"/>
                <w:szCs w:val="20"/>
              </w:rPr>
              <w:t>B.9</w:t>
            </w:r>
          </w:p>
        </w:tc>
        <w:tc>
          <w:tcPr>
            <w:tcW w:w="5386" w:type="dxa"/>
          </w:tcPr>
          <w:p w:rsidR="000C72F0" w:rsidRPr="00F633A7" w:rsidRDefault="000C72F0" w:rsidP="002A4A50">
            <w:pPr>
              <w:rPr>
                <w:sz w:val="20"/>
                <w:szCs w:val="20"/>
              </w:rPr>
            </w:pPr>
            <w:r w:rsidRPr="00F633A7">
              <w:rPr>
                <w:sz w:val="20"/>
                <w:szCs w:val="20"/>
              </w:rPr>
              <w:t>Academic Appeals and Student Complaints</w:t>
            </w:r>
          </w:p>
        </w:tc>
      </w:tr>
      <w:tr w:rsidR="000C72F0" w:rsidRPr="00F633A7" w:rsidTr="002A4A50">
        <w:tc>
          <w:tcPr>
            <w:tcW w:w="1384" w:type="dxa"/>
            <w:vMerge/>
          </w:tcPr>
          <w:p w:rsidR="000C72F0" w:rsidRPr="00F633A7" w:rsidRDefault="000C72F0" w:rsidP="002A4A50">
            <w:pPr>
              <w:rPr>
                <w:sz w:val="20"/>
                <w:szCs w:val="20"/>
              </w:rPr>
            </w:pPr>
          </w:p>
        </w:tc>
        <w:tc>
          <w:tcPr>
            <w:tcW w:w="1418" w:type="dxa"/>
          </w:tcPr>
          <w:p w:rsidR="000C72F0" w:rsidRPr="00F633A7" w:rsidRDefault="000C72F0" w:rsidP="002A4A50">
            <w:pPr>
              <w:rPr>
                <w:sz w:val="20"/>
                <w:szCs w:val="20"/>
              </w:rPr>
            </w:pPr>
            <w:r w:rsidRPr="00F633A7">
              <w:rPr>
                <w:sz w:val="20"/>
                <w:szCs w:val="20"/>
              </w:rPr>
              <w:t>B.10</w:t>
            </w:r>
          </w:p>
        </w:tc>
        <w:tc>
          <w:tcPr>
            <w:tcW w:w="5386" w:type="dxa"/>
          </w:tcPr>
          <w:p w:rsidR="000C72F0" w:rsidRPr="00F633A7" w:rsidRDefault="000C72F0" w:rsidP="002A4A50">
            <w:pPr>
              <w:rPr>
                <w:sz w:val="20"/>
                <w:szCs w:val="20"/>
              </w:rPr>
            </w:pPr>
            <w:r w:rsidRPr="00F633A7">
              <w:rPr>
                <w:sz w:val="20"/>
                <w:szCs w:val="20"/>
              </w:rPr>
              <w:t>Managing Higher Education Provision with Others</w:t>
            </w:r>
          </w:p>
        </w:tc>
      </w:tr>
      <w:tr w:rsidR="000C72F0" w:rsidRPr="00F633A7" w:rsidTr="002A4A50">
        <w:tc>
          <w:tcPr>
            <w:tcW w:w="1384" w:type="dxa"/>
            <w:vMerge/>
            <w:tcBorders>
              <w:bottom w:val="double" w:sz="4" w:space="0" w:color="auto"/>
            </w:tcBorders>
          </w:tcPr>
          <w:p w:rsidR="000C72F0" w:rsidRPr="00F633A7" w:rsidRDefault="000C72F0" w:rsidP="002A4A50">
            <w:pPr>
              <w:rPr>
                <w:sz w:val="20"/>
                <w:szCs w:val="20"/>
              </w:rPr>
            </w:pPr>
          </w:p>
        </w:tc>
        <w:tc>
          <w:tcPr>
            <w:tcW w:w="1418" w:type="dxa"/>
            <w:tcBorders>
              <w:bottom w:val="double" w:sz="4" w:space="0" w:color="auto"/>
            </w:tcBorders>
          </w:tcPr>
          <w:p w:rsidR="000C72F0" w:rsidRPr="00F633A7" w:rsidRDefault="000C72F0" w:rsidP="002A4A50">
            <w:pPr>
              <w:rPr>
                <w:sz w:val="20"/>
                <w:szCs w:val="20"/>
              </w:rPr>
            </w:pPr>
            <w:r w:rsidRPr="00F633A7">
              <w:rPr>
                <w:sz w:val="20"/>
                <w:szCs w:val="20"/>
              </w:rPr>
              <w:t>B.11</w:t>
            </w:r>
          </w:p>
        </w:tc>
        <w:tc>
          <w:tcPr>
            <w:tcW w:w="5386" w:type="dxa"/>
            <w:tcBorders>
              <w:bottom w:val="double" w:sz="4" w:space="0" w:color="auto"/>
            </w:tcBorders>
          </w:tcPr>
          <w:p w:rsidR="000C72F0" w:rsidRPr="00F633A7" w:rsidRDefault="000C72F0" w:rsidP="002A4A50">
            <w:pPr>
              <w:rPr>
                <w:sz w:val="20"/>
                <w:szCs w:val="20"/>
              </w:rPr>
            </w:pPr>
            <w:r w:rsidRPr="00F633A7">
              <w:rPr>
                <w:sz w:val="20"/>
                <w:szCs w:val="20"/>
              </w:rPr>
              <w:t>Research Degrees</w:t>
            </w:r>
          </w:p>
        </w:tc>
      </w:tr>
      <w:tr w:rsidR="000C72F0" w:rsidRPr="00F633A7" w:rsidTr="002A4A50">
        <w:tc>
          <w:tcPr>
            <w:tcW w:w="1384" w:type="dxa"/>
            <w:tcBorders>
              <w:top w:val="double" w:sz="4" w:space="0" w:color="auto"/>
            </w:tcBorders>
          </w:tcPr>
          <w:p w:rsidR="000C72F0" w:rsidRPr="00F633A7" w:rsidRDefault="000C72F0" w:rsidP="002A4A50">
            <w:pPr>
              <w:rPr>
                <w:sz w:val="20"/>
                <w:szCs w:val="20"/>
              </w:rPr>
            </w:pPr>
            <w:r w:rsidRPr="00F633A7">
              <w:rPr>
                <w:sz w:val="20"/>
                <w:szCs w:val="20"/>
              </w:rPr>
              <w:t>Part C</w:t>
            </w:r>
          </w:p>
        </w:tc>
        <w:tc>
          <w:tcPr>
            <w:tcW w:w="1418" w:type="dxa"/>
            <w:tcBorders>
              <w:top w:val="double" w:sz="4" w:space="0" w:color="auto"/>
            </w:tcBorders>
          </w:tcPr>
          <w:p w:rsidR="000C72F0" w:rsidRPr="00F633A7" w:rsidRDefault="000C72F0" w:rsidP="002A4A50">
            <w:pPr>
              <w:rPr>
                <w:sz w:val="20"/>
                <w:szCs w:val="20"/>
              </w:rPr>
            </w:pPr>
            <w:r w:rsidRPr="00F633A7">
              <w:rPr>
                <w:sz w:val="20"/>
                <w:szCs w:val="20"/>
              </w:rPr>
              <w:t>-</w:t>
            </w:r>
          </w:p>
        </w:tc>
        <w:tc>
          <w:tcPr>
            <w:tcW w:w="5386" w:type="dxa"/>
            <w:tcBorders>
              <w:top w:val="double" w:sz="4" w:space="0" w:color="auto"/>
            </w:tcBorders>
          </w:tcPr>
          <w:p w:rsidR="000C72F0" w:rsidRPr="00F633A7" w:rsidRDefault="000C72F0" w:rsidP="002A4A50">
            <w:pPr>
              <w:rPr>
                <w:sz w:val="20"/>
                <w:szCs w:val="20"/>
              </w:rPr>
            </w:pPr>
            <w:r w:rsidRPr="00F633A7">
              <w:rPr>
                <w:sz w:val="20"/>
                <w:szCs w:val="20"/>
              </w:rPr>
              <w:t>Information about Higher Education Provision</w:t>
            </w:r>
          </w:p>
        </w:tc>
      </w:tr>
    </w:tbl>
    <w:p w:rsidR="00FA707D" w:rsidRDefault="00FA707D" w:rsidP="005F1962">
      <w:pPr>
        <w:spacing w:after="0" w:line="240" w:lineRule="auto"/>
        <w:rPr>
          <w:rFonts w:ascii="Calibri" w:hAnsi="Calibri" w:cs="Arial"/>
        </w:rPr>
      </w:pPr>
    </w:p>
    <w:p w:rsidR="00FA707D" w:rsidRDefault="00FA707D" w:rsidP="005F1962">
      <w:pPr>
        <w:spacing w:after="0" w:line="240" w:lineRule="auto"/>
        <w:rPr>
          <w:rFonts w:ascii="Calibri" w:hAnsi="Calibri" w:cs="Arial"/>
        </w:rPr>
      </w:pPr>
    </w:p>
    <w:p w:rsidR="002A4A50" w:rsidRDefault="002A4A50" w:rsidP="005F1962">
      <w:pPr>
        <w:spacing w:after="0" w:line="240" w:lineRule="auto"/>
        <w:rPr>
          <w:rFonts w:ascii="Calibri" w:hAnsi="Calibri" w:cs="Arial"/>
        </w:rPr>
      </w:pPr>
    </w:p>
    <w:p w:rsidR="002A4A50" w:rsidRDefault="002A4A50" w:rsidP="005F1962">
      <w:pPr>
        <w:spacing w:after="0" w:line="240" w:lineRule="auto"/>
        <w:rPr>
          <w:rFonts w:ascii="Calibri" w:hAnsi="Calibri" w:cs="Arial"/>
        </w:rPr>
      </w:pPr>
    </w:p>
    <w:p w:rsidR="002A4A50" w:rsidRDefault="002A4A50" w:rsidP="005F1962">
      <w:pPr>
        <w:spacing w:after="0" w:line="240" w:lineRule="auto"/>
        <w:rPr>
          <w:rFonts w:ascii="Calibri" w:hAnsi="Calibri" w:cs="Arial"/>
        </w:rPr>
      </w:pPr>
    </w:p>
    <w:p w:rsidR="002A4A50" w:rsidRDefault="002A4A50" w:rsidP="005F1962">
      <w:pPr>
        <w:spacing w:after="0" w:line="240" w:lineRule="auto"/>
        <w:rPr>
          <w:rFonts w:ascii="Calibri" w:hAnsi="Calibri" w:cs="Arial"/>
        </w:rPr>
      </w:pPr>
    </w:p>
    <w:p w:rsidR="002A4A50" w:rsidRDefault="002A4A50" w:rsidP="005F1962">
      <w:pPr>
        <w:spacing w:after="0" w:line="240" w:lineRule="auto"/>
        <w:rPr>
          <w:rFonts w:ascii="Calibri" w:hAnsi="Calibri" w:cs="Arial"/>
        </w:rPr>
      </w:pPr>
    </w:p>
    <w:p w:rsidR="002A4A50" w:rsidRDefault="002A4A50" w:rsidP="005F1962">
      <w:pPr>
        <w:spacing w:after="0" w:line="240" w:lineRule="auto"/>
        <w:rPr>
          <w:rFonts w:ascii="Calibri" w:hAnsi="Calibri" w:cs="Arial"/>
        </w:rPr>
      </w:pPr>
    </w:p>
    <w:p w:rsidR="002A4A50" w:rsidRDefault="002A4A50" w:rsidP="005F1962">
      <w:pPr>
        <w:spacing w:after="0" w:line="240" w:lineRule="auto"/>
        <w:rPr>
          <w:rFonts w:ascii="Calibri" w:hAnsi="Calibri" w:cs="Arial"/>
        </w:rPr>
      </w:pPr>
    </w:p>
    <w:p w:rsidR="00480434" w:rsidRDefault="00480434" w:rsidP="005F1962">
      <w:pPr>
        <w:spacing w:after="0" w:line="240" w:lineRule="auto"/>
        <w:rPr>
          <w:rFonts w:ascii="Calibri" w:hAnsi="Calibri" w:cs="Arial"/>
        </w:rPr>
      </w:pPr>
      <w:r>
        <w:rPr>
          <w:rFonts w:ascii="Calibri" w:hAnsi="Calibri" w:cs="Arial"/>
          <w:b/>
        </w:rPr>
        <w:t>12</w:t>
      </w:r>
      <w:r>
        <w:rPr>
          <w:rFonts w:ascii="Calibri" w:hAnsi="Calibri" w:cs="Arial"/>
          <w:b/>
        </w:rPr>
        <w:tab/>
        <w:t>Forms</w:t>
      </w:r>
      <w:r w:rsidR="00B4796F">
        <w:rPr>
          <w:rFonts w:ascii="Calibri" w:hAnsi="Calibri" w:cs="Arial"/>
          <w:b/>
        </w:rPr>
        <w:t xml:space="preserve"> and documents</w:t>
      </w:r>
    </w:p>
    <w:p w:rsidR="00480434" w:rsidRDefault="00480434" w:rsidP="005F1962">
      <w:pPr>
        <w:spacing w:after="0" w:line="240" w:lineRule="auto"/>
        <w:rPr>
          <w:rFonts w:ascii="Calibri" w:hAnsi="Calibri" w:cs="Arial"/>
        </w:rPr>
      </w:pPr>
    </w:p>
    <w:p w:rsidR="00480434" w:rsidRDefault="00480434" w:rsidP="00480434">
      <w:pPr>
        <w:spacing w:after="0" w:line="240" w:lineRule="auto"/>
        <w:ind w:left="770" w:hanging="770"/>
        <w:rPr>
          <w:rFonts w:ascii="Calibri" w:hAnsi="Calibri" w:cs="Arial"/>
        </w:rPr>
      </w:pPr>
      <w:r>
        <w:rPr>
          <w:rFonts w:ascii="Calibri" w:hAnsi="Calibri" w:cs="Arial"/>
        </w:rPr>
        <w:tab/>
        <w:t>The following forms</w:t>
      </w:r>
      <w:r w:rsidR="00B4796F">
        <w:rPr>
          <w:rFonts w:ascii="Calibri" w:hAnsi="Calibri" w:cs="Arial"/>
        </w:rPr>
        <w:t xml:space="preserve"> and documents</w:t>
      </w:r>
      <w:r>
        <w:rPr>
          <w:rFonts w:ascii="Calibri" w:hAnsi="Calibri" w:cs="Arial"/>
        </w:rPr>
        <w:t>, referenced through</w:t>
      </w:r>
      <w:r w:rsidR="00251151">
        <w:rPr>
          <w:rFonts w:ascii="Calibri" w:hAnsi="Calibri" w:cs="Arial"/>
        </w:rPr>
        <w:t>out</w:t>
      </w:r>
      <w:r>
        <w:rPr>
          <w:rFonts w:ascii="Calibri" w:hAnsi="Calibri" w:cs="Arial"/>
        </w:rPr>
        <w:t xml:space="preserve"> this Manual </w:t>
      </w:r>
      <w:r w:rsidR="00251151">
        <w:rPr>
          <w:rFonts w:ascii="Calibri" w:hAnsi="Calibri" w:cs="Arial"/>
        </w:rPr>
        <w:t xml:space="preserve">and the NPRs </w:t>
      </w:r>
      <w:r>
        <w:rPr>
          <w:rFonts w:ascii="Calibri" w:hAnsi="Calibri" w:cs="Arial"/>
        </w:rPr>
        <w:t>are available electronically through the Navitas Sharepoint.</w:t>
      </w:r>
    </w:p>
    <w:p w:rsidR="00480434" w:rsidRDefault="00480434" w:rsidP="00480434">
      <w:pPr>
        <w:spacing w:after="0" w:line="240" w:lineRule="auto"/>
        <w:ind w:left="770" w:hanging="770"/>
        <w:rPr>
          <w:rFonts w:ascii="Calibri" w:hAnsi="Calibri" w:cs="Arial"/>
        </w:rPr>
      </w:pPr>
    </w:p>
    <w:p w:rsidR="00AB52CC" w:rsidRDefault="00AB52CC" w:rsidP="00480434">
      <w:pPr>
        <w:tabs>
          <w:tab w:val="left" w:pos="2310"/>
        </w:tabs>
        <w:spacing w:after="0" w:line="240" w:lineRule="auto"/>
        <w:ind w:left="770" w:hanging="770"/>
        <w:rPr>
          <w:rFonts w:ascii="Calibri" w:hAnsi="Calibri" w:cs="Arial"/>
        </w:rPr>
      </w:pPr>
      <w:r>
        <w:rPr>
          <w:rFonts w:ascii="Calibri" w:hAnsi="Calibri" w:cs="Arial"/>
        </w:rPr>
        <w:tab/>
        <w:t>QS01.1</w:t>
      </w:r>
      <w:r>
        <w:rPr>
          <w:rFonts w:ascii="Calibri" w:hAnsi="Calibri" w:cs="Arial"/>
        </w:rPr>
        <w:tab/>
        <w:t>Strategic Approval</w:t>
      </w:r>
    </w:p>
    <w:p w:rsidR="00AB52CC" w:rsidRDefault="00AB52CC" w:rsidP="00480434">
      <w:pPr>
        <w:tabs>
          <w:tab w:val="left" w:pos="2310"/>
        </w:tabs>
        <w:spacing w:after="0" w:line="240" w:lineRule="auto"/>
        <w:ind w:left="770" w:hanging="770"/>
        <w:rPr>
          <w:rFonts w:ascii="Calibri" w:hAnsi="Calibri" w:cs="Arial"/>
        </w:rPr>
      </w:pPr>
      <w:r>
        <w:rPr>
          <w:rFonts w:ascii="Calibri" w:hAnsi="Calibri" w:cs="Arial"/>
        </w:rPr>
        <w:tab/>
        <w:t>QS01.2</w:t>
      </w:r>
      <w:r>
        <w:rPr>
          <w:rFonts w:ascii="Calibri" w:hAnsi="Calibri" w:cs="Arial"/>
        </w:rPr>
        <w:tab/>
        <w:t>Approval in Principal</w:t>
      </w:r>
    </w:p>
    <w:p w:rsidR="00AB52CC" w:rsidRDefault="00AB52CC" w:rsidP="00480434">
      <w:pPr>
        <w:tabs>
          <w:tab w:val="left" w:pos="2310"/>
        </w:tabs>
        <w:spacing w:after="0" w:line="240" w:lineRule="auto"/>
        <w:ind w:left="770" w:hanging="770"/>
        <w:rPr>
          <w:rFonts w:ascii="Calibri" w:hAnsi="Calibri" w:cs="Arial"/>
        </w:rPr>
      </w:pPr>
      <w:r>
        <w:rPr>
          <w:rFonts w:ascii="Calibri" w:hAnsi="Calibri" w:cs="Arial"/>
        </w:rPr>
        <w:tab/>
        <w:t>QS01.3</w:t>
      </w:r>
      <w:r>
        <w:rPr>
          <w:rFonts w:ascii="Calibri" w:hAnsi="Calibri" w:cs="Arial"/>
        </w:rPr>
        <w:tab/>
        <w:t>Approval in Full</w:t>
      </w:r>
      <w:r>
        <w:rPr>
          <w:rFonts w:ascii="Calibri" w:hAnsi="Calibri" w:cs="Arial"/>
        </w:rPr>
        <w:tab/>
      </w:r>
    </w:p>
    <w:p w:rsidR="00AB52CC" w:rsidRDefault="00AB52CC" w:rsidP="00480434">
      <w:pPr>
        <w:tabs>
          <w:tab w:val="left" w:pos="2310"/>
        </w:tabs>
        <w:spacing w:after="0" w:line="240" w:lineRule="auto"/>
        <w:ind w:left="770" w:hanging="770"/>
        <w:rPr>
          <w:rFonts w:ascii="Calibri" w:hAnsi="Calibri" w:cs="Arial"/>
        </w:rPr>
      </w:pPr>
      <w:r>
        <w:rPr>
          <w:rFonts w:ascii="Calibri" w:hAnsi="Calibri" w:cs="Arial"/>
        </w:rPr>
        <w:tab/>
        <w:t>QS01.4</w:t>
      </w:r>
      <w:r>
        <w:rPr>
          <w:rFonts w:ascii="Calibri" w:hAnsi="Calibri" w:cs="Arial"/>
        </w:rPr>
        <w:tab/>
        <w:t>Portfolio Expansion</w:t>
      </w:r>
    </w:p>
    <w:p w:rsidR="005065BB" w:rsidRDefault="005065BB" w:rsidP="00480434">
      <w:pPr>
        <w:tabs>
          <w:tab w:val="left" w:pos="2310"/>
        </w:tabs>
        <w:spacing w:after="0" w:line="240" w:lineRule="auto"/>
        <w:ind w:left="770" w:hanging="770"/>
        <w:rPr>
          <w:rFonts w:ascii="Calibri" w:hAnsi="Calibri" w:cs="Arial"/>
        </w:rPr>
      </w:pPr>
      <w:r>
        <w:rPr>
          <w:rFonts w:ascii="Calibri" w:hAnsi="Calibri" w:cs="Arial"/>
        </w:rPr>
        <w:tab/>
        <w:t>QS02</w:t>
      </w:r>
      <w:r>
        <w:rPr>
          <w:rFonts w:ascii="Calibri" w:hAnsi="Calibri" w:cs="Arial"/>
        </w:rPr>
        <w:tab/>
        <w:t>Annual Monitoring</w:t>
      </w:r>
      <w:r>
        <w:rPr>
          <w:rFonts w:ascii="Calibri" w:hAnsi="Calibri" w:cs="Arial"/>
        </w:rPr>
        <w:tab/>
      </w:r>
    </w:p>
    <w:p w:rsidR="00F633A7" w:rsidRDefault="00AB52CC" w:rsidP="00480434">
      <w:pPr>
        <w:tabs>
          <w:tab w:val="left" w:pos="2310"/>
        </w:tabs>
        <w:spacing w:after="0" w:line="240" w:lineRule="auto"/>
        <w:ind w:left="770" w:hanging="770"/>
        <w:rPr>
          <w:rFonts w:ascii="Calibri" w:hAnsi="Calibri" w:cs="Arial"/>
        </w:rPr>
      </w:pPr>
      <w:r>
        <w:rPr>
          <w:rFonts w:ascii="Calibri" w:hAnsi="Calibri" w:cs="Arial"/>
        </w:rPr>
        <w:tab/>
      </w:r>
      <w:r w:rsidR="00F633A7">
        <w:rPr>
          <w:rFonts w:ascii="Calibri" w:hAnsi="Calibri" w:cs="Arial"/>
        </w:rPr>
        <w:t>QS05.1</w:t>
      </w:r>
      <w:r w:rsidR="00F633A7">
        <w:rPr>
          <w:rFonts w:ascii="Calibri" w:hAnsi="Calibri" w:cs="Arial"/>
        </w:rPr>
        <w:tab/>
        <w:t>Teaching Observation Form</w:t>
      </w:r>
    </w:p>
    <w:p w:rsidR="00F633A7" w:rsidRDefault="00F633A7" w:rsidP="00480434">
      <w:pPr>
        <w:tabs>
          <w:tab w:val="left" w:pos="2310"/>
        </w:tabs>
        <w:spacing w:after="0" w:line="240" w:lineRule="auto"/>
        <w:ind w:left="770" w:hanging="770"/>
        <w:rPr>
          <w:rFonts w:ascii="Calibri" w:hAnsi="Calibri" w:cs="Arial"/>
        </w:rPr>
      </w:pPr>
      <w:r>
        <w:rPr>
          <w:rFonts w:ascii="Calibri" w:hAnsi="Calibri" w:cs="Arial"/>
        </w:rPr>
        <w:tab/>
        <w:t>QS05.2</w:t>
      </w:r>
      <w:r>
        <w:rPr>
          <w:rFonts w:ascii="Calibri" w:hAnsi="Calibri" w:cs="Arial"/>
        </w:rPr>
        <w:tab/>
        <w:t>Peer Observation Form</w:t>
      </w:r>
    </w:p>
    <w:p w:rsidR="00AB52CC" w:rsidRDefault="00AB52CC" w:rsidP="00480434">
      <w:pPr>
        <w:tabs>
          <w:tab w:val="left" w:pos="2310"/>
        </w:tabs>
        <w:spacing w:after="0" w:line="240" w:lineRule="auto"/>
        <w:ind w:left="770" w:hanging="770"/>
        <w:rPr>
          <w:rFonts w:ascii="Calibri" w:hAnsi="Calibri" w:cs="Arial"/>
        </w:rPr>
      </w:pPr>
      <w:r>
        <w:rPr>
          <w:rFonts w:ascii="Calibri" w:hAnsi="Calibri" w:cs="Arial"/>
        </w:rPr>
        <w:tab/>
        <w:t>QS</w:t>
      </w:r>
      <w:r w:rsidR="00FA707D">
        <w:rPr>
          <w:rFonts w:ascii="Calibri" w:hAnsi="Calibri" w:cs="Arial"/>
        </w:rPr>
        <w:t>08</w:t>
      </w:r>
      <w:r>
        <w:rPr>
          <w:rFonts w:ascii="Calibri" w:hAnsi="Calibri" w:cs="Arial"/>
        </w:rPr>
        <w:tab/>
        <w:t>Module Survey Questions</w:t>
      </w:r>
    </w:p>
    <w:p w:rsidR="00AB52CC" w:rsidRDefault="00AB52CC" w:rsidP="00480434">
      <w:pPr>
        <w:tabs>
          <w:tab w:val="left" w:pos="2310"/>
        </w:tabs>
        <w:spacing w:after="0" w:line="240" w:lineRule="auto"/>
        <w:ind w:left="770" w:hanging="770"/>
        <w:rPr>
          <w:rFonts w:ascii="Calibri" w:hAnsi="Calibri" w:cs="Arial"/>
        </w:rPr>
      </w:pPr>
      <w:r>
        <w:rPr>
          <w:rFonts w:ascii="Calibri" w:hAnsi="Calibri" w:cs="Arial"/>
        </w:rPr>
        <w:tab/>
        <w:t>QS</w:t>
      </w:r>
      <w:r w:rsidR="00FA707D">
        <w:rPr>
          <w:rFonts w:ascii="Calibri" w:hAnsi="Calibri" w:cs="Arial"/>
        </w:rPr>
        <w:t>0</w:t>
      </w:r>
      <w:r>
        <w:rPr>
          <w:rFonts w:ascii="Calibri" w:hAnsi="Calibri" w:cs="Arial"/>
        </w:rPr>
        <w:t>9</w:t>
      </w:r>
      <w:r>
        <w:rPr>
          <w:rFonts w:ascii="Calibri" w:hAnsi="Calibri" w:cs="Arial"/>
        </w:rPr>
        <w:tab/>
        <w:t>Examination Invigilators</w:t>
      </w:r>
    </w:p>
    <w:p w:rsidR="00AB52CC" w:rsidRDefault="00AB52CC" w:rsidP="00480434">
      <w:pPr>
        <w:tabs>
          <w:tab w:val="left" w:pos="2310"/>
        </w:tabs>
        <w:spacing w:after="0" w:line="240" w:lineRule="auto"/>
        <w:ind w:left="770" w:hanging="770"/>
        <w:rPr>
          <w:rFonts w:ascii="Calibri" w:hAnsi="Calibri" w:cs="Arial"/>
        </w:rPr>
      </w:pPr>
      <w:r>
        <w:rPr>
          <w:rFonts w:ascii="Calibri" w:hAnsi="Calibri" w:cs="Arial"/>
        </w:rPr>
        <w:tab/>
        <w:t>QS10.1</w:t>
      </w:r>
      <w:r>
        <w:rPr>
          <w:rFonts w:ascii="Calibri" w:hAnsi="Calibri" w:cs="Arial"/>
        </w:rPr>
        <w:tab/>
        <w:t>Appeal</w:t>
      </w:r>
      <w:r w:rsidR="005065BB">
        <w:rPr>
          <w:rFonts w:ascii="Calibri" w:hAnsi="Calibri" w:cs="Arial"/>
        </w:rPr>
        <w:t>s</w:t>
      </w:r>
    </w:p>
    <w:p w:rsidR="00AB52CC" w:rsidRDefault="00AB52CC" w:rsidP="00AB52CC">
      <w:pPr>
        <w:tabs>
          <w:tab w:val="left" w:pos="2310"/>
        </w:tabs>
        <w:spacing w:after="0" w:line="240" w:lineRule="auto"/>
        <w:ind w:left="770" w:hanging="770"/>
        <w:rPr>
          <w:rFonts w:ascii="Calibri" w:hAnsi="Calibri" w:cs="Arial"/>
        </w:rPr>
      </w:pPr>
      <w:r>
        <w:rPr>
          <w:rFonts w:ascii="Calibri" w:hAnsi="Calibri" w:cs="Arial"/>
        </w:rPr>
        <w:tab/>
        <w:t>QS10.2</w:t>
      </w:r>
      <w:r>
        <w:rPr>
          <w:rFonts w:ascii="Calibri" w:hAnsi="Calibri" w:cs="Arial"/>
        </w:rPr>
        <w:tab/>
        <w:t>Complaint</w:t>
      </w:r>
      <w:r w:rsidR="005065BB">
        <w:rPr>
          <w:rFonts w:ascii="Calibri" w:hAnsi="Calibri" w:cs="Arial"/>
        </w:rPr>
        <w:t>s</w:t>
      </w:r>
      <w:r w:rsidR="00480434">
        <w:rPr>
          <w:rFonts w:ascii="Calibri" w:hAnsi="Calibri" w:cs="Arial"/>
        </w:rPr>
        <w:tab/>
      </w:r>
    </w:p>
    <w:p w:rsidR="00480434" w:rsidRDefault="002A78AB" w:rsidP="00480434">
      <w:pPr>
        <w:tabs>
          <w:tab w:val="left" w:pos="2310"/>
        </w:tabs>
        <w:spacing w:after="0" w:line="240" w:lineRule="auto"/>
        <w:ind w:left="770" w:hanging="770"/>
        <w:rPr>
          <w:rFonts w:ascii="Calibri" w:hAnsi="Calibri" w:cs="Arial"/>
        </w:rPr>
      </w:pPr>
      <w:r>
        <w:rPr>
          <w:rFonts w:ascii="Calibri" w:hAnsi="Calibri" w:cs="Arial"/>
        </w:rPr>
        <w:tab/>
      </w:r>
      <w:r w:rsidR="00AB52CC">
        <w:rPr>
          <w:rFonts w:ascii="Calibri" w:hAnsi="Calibri" w:cs="Arial"/>
        </w:rPr>
        <w:t>QM01.1</w:t>
      </w:r>
      <w:r w:rsidR="00AB52CC">
        <w:rPr>
          <w:rFonts w:ascii="Calibri" w:hAnsi="Calibri" w:cs="Arial"/>
        </w:rPr>
        <w:tab/>
      </w:r>
      <w:r w:rsidR="00480434">
        <w:rPr>
          <w:rFonts w:ascii="Calibri" w:hAnsi="Calibri" w:cs="Arial"/>
        </w:rPr>
        <w:t>AAC</w:t>
      </w:r>
      <w:r w:rsidR="00AB52CC">
        <w:rPr>
          <w:rFonts w:ascii="Calibri" w:hAnsi="Calibri" w:cs="Arial"/>
        </w:rPr>
        <w:t xml:space="preserve"> Template</w:t>
      </w:r>
    </w:p>
    <w:p w:rsidR="00E46B8C" w:rsidRDefault="00E46B8C" w:rsidP="00480434">
      <w:pPr>
        <w:tabs>
          <w:tab w:val="left" w:pos="2310"/>
        </w:tabs>
        <w:spacing w:after="0" w:line="240" w:lineRule="auto"/>
        <w:ind w:left="770" w:hanging="770"/>
        <w:rPr>
          <w:rFonts w:ascii="Calibri" w:hAnsi="Calibri" w:cs="Arial"/>
        </w:rPr>
      </w:pPr>
      <w:r>
        <w:rPr>
          <w:rFonts w:ascii="Calibri" w:hAnsi="Calibri" w:cs="Arial"/>
        </w:rPr>
        <w:tab/>
      </w:r>
      <w:r w:rsidR="00AB52CC">
        <w:rPr>
          <w:rFonts w:ascii="Calibri" w:hAnsi="Calibri" w:cs="Arial"/>
        </w:rPr>
        <w:t>QM01.2</w:t>
      </w:r>
      <w:r>
        <w:rPr>
          <w:rFonts w:ascii="Calibri" w:hAnsi="Calibri" w:cs="Arial"/>
        </w:rPr>
        <w:tab/>
        <w:t>Programme Specification Template</w:t>
      </w:r>
    </w:p>
    <w:p w:rsidR="00251151" w:rsidRDefault="00251151" w:rsidP="00480434">
      <w:pPr>
        <w:tabs>
          <w:tab w:val="left" w:pos="2310"/>
        </w:tabs>
        <w:spacing w:after="0" w:line="240" w:lineRule="auto"/>
        <w:ind w:left="770" w:hanging="770"/>
        <w:rPr>
          <w:rFonts w:ascii="Calibri" w:hAnsi="Calibri" w:cs="Arial"/>
        </w:rPr>
      </w:pPr>
      <w:r>
        <w:rPr>
          <w:rFonts w:ascii="Calibri" w:hAnsi="Calibri" w:cs="Arial"/>
        </w:rPr>
        <w:tab/>
      </w:r>
      <w:r w:rsidR="00AB52CC">
        <w:rPr>
          <w:rFonts w:ascii="Calibri" w:hAnsi="Calibri" w:cs="Arial"/>
        </w:rPr>
        <w:t>QM01.3</w:t>
      </w:r>
      <w:r>
        <w:rPr>
          <w:rFonts w:ascii="Calibri" w:hAnsi="Calibri" w:cs="Arial"/>
        </w:rPr>
        <w:tab/>
      </w:r>
      <w:r w:rsidR="00AB52CC">
        <w:rPr>
          <w:rFonts w:ascii="Calibri" w:hAnsi="Calibri" w:cs="Arial"/>
        </w:rPr>
        <w:t>Definitive Module Document Template</w:t>
      </w:r>
    </w:p>
    <w:p w:rsidR="00AB52CC" w:rsidRDefault="00AB52CC" w:rsidP="00480434">
      <w:pPr>
        <w:tabs>
          <w:tab w:val="left" w:pos="2310"/>
        </w:tabs>
        <w:spacing w:after="0" w:line="240" w:lineRule="auto"/>
        <w:ind w:left="770" w:hanging="770"/>
        <w:rPr>
          <w:rFonts w:ascii="Calibri" w:hAnsi="Calibri" w:cs="Arial"/>
        </w:rPr>
      </w:pPr>
      <w:r>
        <w:rPr>
          <w:rFonts w:ascii="Calibri" w:hAnsi="Calibri" w:cs="Arial"/>
        </w:rPr>
        <w:tab/>
        <w:t>QM01.4</w:t>
      </w:r>
      <w:r>
        <w:rPr>
          <w:rFonts w:ascii="Calibri" w:hAnsi="Calibri" w:cs="Arial"/>
        </w:rPr>
        <w:tab/>
        <w:t>Module Guide Template</w:t>
      </w:r>
    </w:p>
    <w:p w:rsidR="00AB52CC" w:rsidRDefault="00AB52CC" w:rsidP="00480434">
      <w:pPr>
        <w:tabs>
          <w:tab w:val="left" w:pos="2310"/>
        </w:tabs>
        <w:spacing w:after="0" w:line="240" w:lineRule="auto"/>
        <w:ind w:left="770" w:hanging="770"/>
        <w:rPr>
          <w:rFonts w:ascii="Calibri" w:hAnsi="Calibri" w:cs="Arial"/>
        </w:rPr>
      </w:pPr>
    </w:p>
    <w:p w:rsidR="000C72F0" w:rsidRPr="00F4688F" w:rsidRDefault="000C72F0" w:rsidP="00480434">
      <w:pPr>
        <w:tabs>
          <w:tab w:val="left" w:pos="2310"/>
        </w:tabs>
        <w:spacing w:after="0" w:line="240" w:lineRule="auto"/>
        <w:ind w:left="770" w:hanging="770"/>
        <w:rPr>
          <w:rFonts w:ascii="Calibri" w:hAnsi="Calibri" w:cs="Arial"/>
          <w:b/>
        </w:rPr>
      </w:pPr>
      <w:r w:rsidRPr="00F4688F">
        <w:rPr>
          <w:rFonts w:ascii="Calibri" w:hAnsi="Calibri" w:cs="Arial"/>
          <w:b/>
        </w:rPr>
        <w:t>Appendix One</w:t>
      </w:r>
    </w:p>
    <w:p w:rsidR="000C72F0" w:rsidRPr="00F4688F" w:rsidRDefault="009731DE" w:rsidP="00480434">
      <w:pPr>
        <w:tabs>
          <w:tab w:val="left" w:pos="2310"/>
        </w:tabs>
        <w:spacing w:after="0" w:line="240" w:lineRule="auto"/>
        <w:ind w:left="770" w:hanging="770"/>
        <w:rPr>
          <w:rFonts w:ascii="Calibri" w:hAnsi="Calibri" w:cs="Arial"/>
          <w:b/>
        </w:rPr>
      </w:pPr>
      <w:r>
        <w:rPr>
          <w:rFonts w:ascii="Calibri" w:hAnsi="Calibri" w:cs="Arial"/>
          <w:b/>
        </w:rPr>
        <w:t>Navitas UPE</w:t>
      </w:r>
      <w:r w:rsidR="000C72F0" w:rsidRPr="00F4688F">
        <w:rPr>
          <w:rFonts w:ascii="Calibri" w:hAnsi="Calibri" w:cs="Arial"/>
          <w:b/>
        </w:rPr>
        <w:t xml:space="preserve"> Governance Structure</w:t>
      </w:r>
      <w:r w:rsidR="00DB4993">
        <w:rPr>
          <w:rFonts w:ascii="Calibri" w:hAnsi="Calibri" w:cs="Arial"/>
          <w:b/>
        </w:rPr>
        <w:t xml:space="preserve"> Organigram</w:t>
      </w:r>
    </w:p>
    <w:p w:rsidR="000C72F0" w:rsidRDefault="000C72F0" w:rsidP="00480434">
      <w:pPr>
        <w:tabs>
          <w:tab w:val="left" w:pos="2310"/>
        </w:tabs>
        <w:spacing w:after="0" w:line="240" w:lineRule="auto"/>
        <w:ind w:left="770" w:hanging="770"/>
        <w:rPr>
          <w:rFonts w:ascii="Calibri" w:hAnsi="Calibri" w:cs="Arial"/>
        </w:rPr>
      </w:pPr>
    </w:p>
    <w:p w:rsidR="000C72F0" w:rsidRPr="00F4688F" w:rsidRDefault="000C72F0" w:rsidP="00480434">
      <w:pPr>
        <w:tabs>
          <w:tab w:val="left" w:pos="2310"/>
        </w:tabs>
        <w:spacing w:after="0" w:line="240" w:lineRule="auto"/>
        <w:ind w:left="770" w:hanging="770"/>
        <w:rPr>
          <w:rFonts w:ascii="Calibri" w:hAnsi="Calibri" w:cs="Arial"/>
          <w:b/>
        </w:rPr>
      </w:pPr>
      <w:r w:rsidRPr="00F4688F">
        <w:rPr>
          <w:rFonts w:ascii="Calibri" w:hAnsi="Calibri" w:cs="Arial"/>
          <w:b/>
        </w:rPr>
        <w:t>Appendix Two</w:t>
      </w:r>
    </w:p>
    <w:p w:rsidR="000C72F0" w:rsidRPr="00F4688F" w:rsidRDefault="009731DE" w:rsidP="00480434">
      <w:pPr>
        <w:tabs>
          <w:tab w:val="left" w:pos="2310"/>
        </w:tabs>
        <w:spacing w:after="0" w:line="240" w:lineRule="auto"/>
        <w:ind w:left="770" w:hanging="770"/>
        <w:rPr>
          <w:rFonts w:ascii="Calibri" w:hAnsi="Calibri" w:cs="Arial"/>
          <w:b/>
        </w:rPr>
      </w:pPr>
      <w:r>
        <w:rPr>
          <w:rFonts w:ascii="Calibri" w:hAnsi="Calibri" w:cs="Arial"/>
          <w:b/>
        </w:rPr>
        <w:t>Navitas UPE</w:t>
      </w:r>
      <w:r w:rsidR="000C72F0" w:rsidRPr="00F4688F">
        <w:rPr>
          <w:rFonts w:ascii="Calibri" w:hAnsi="Calibri" w:cs="Arial"/>
          <w:b/>
        </w:rPr>
        <w:t xml:space="preserve"> </w:t>
      </w:r>
      <w:r>
        <w:rPr>
          <w:rFonts w:ascii="Calibri" w:hAnsi="Calibri" w:cs="Arial"/>
          <w:b/>
        </w:rPr>
        <w:t>Executive Leadership Team</w:t>
      </w:r>
      <w:r w:rsidR="00DB4993">
        <w:rPr>
          <w:rFonts w:ascii="Calibri" w:hAnsi="Calibri" w:cs="Arial"/>
          <w:b/>
        </w:rPr>
        <w:t xml:space="preserve"> Organigram</w:t>
      </w:r>
    </w:p>
    <w:p w:rsidR="000C72F0" w:rsidRDefault="000C72F0" w:rsidP="00480434">
      <w:pPr>
        <w:tabs>
          <w:tab w:val="left" w:pos="2310"/>
        </w:tabs>
        <w:spacing w:after="0" w:line="240" w:lineRule="auto"/>
        <w:ind w:left="770" w:hanging="770"/>
        <w:rPr>
          <w:rFonts w:ascii="Calibri" w:hAnsi="Calibri" w:cs="Arial"/>
        </w:rPr>
      </w:pPr>
    </w:p>
    <w:p w:rsidR="000C72F0" w:rsidRPr="00F4688F" w:rsidRDefault="000C72F0" w:rsidP="00480434">
      <w:pPr>
        <w:tabs>
          <w:tab w:val="left" w:pos="2310"/>
        </w:tabs>
        <w:spacing w:after="0" w:line="240" w:lineRule="auto"/>
        <w:ind w:left="770" w:hanging="770"/>
        <w:rPr>
          <w:rFonts w:ascii="Calibri" w:hAnsi="Calibri" w:cs="Arial"/>
          <w:b/>
        </w:rPr>
      </w:pPr>
      <w:r w:rsidRPr="00F4688F">
        <w:rPr>
          <w:rFonts w:ascii="Calibri" w:hAnsi="Calibri" w:cs="Arial"/>
          <w:b/>
        </w:rPr>
        <w:t>Appendix Three</w:t>
      </w:r>
    </w:p>
    <w:p w:rsidR="000C72F0" w:rsidRPr="00F4688F" w:rsidRDefault="009731DE" w:rsidP="00480434">
      <w:pPr>
        <w:tabs>
          <w:tab w:val="left" w:pos="2310"/>
        </w:tabs>
        <w:spacing w:after="0" w:line="240" w:lineRule="auto"/>
        <w:ind w:left="770" w:hanging="770"/>
        <w:rPr>
          <w:rFonts w:ascii="Calibri" w:hAnsi="Calibri" w:cs="Arial"/>
          <w:b/>
        </w:rPr>
      </w:pPr>
      <w:r>
        <w:rPr>
          <w:rFonts w:ascii="Calibri" w:hAnsi="Calibri" w:cs="Arial"/>
          <w:b/>
        </w:rPr>
        <w:t>Navitas UPE</w:t>
      </w:r>
      <w:r w:rsidR="000C72F0" w:rsidRPr="00F4688F">
        <w:rPr>
          <w:rFonts w:ascii="Calibri" w:hAnsi="Calibri" w:cs="Arial"/>
          <w:b/>
        </w:rPr>
        <w:t xml:space="preserve"> </w:t>
      </w:r>
      <w:r>
        <w:rPr>
          <w:rFonts w:ascii="Calibri" w:hAnsi="Calibri" w:cs="Arial"/>
          <w:b/>
        </w:rPr>
        <w:t>Operational Leadership Team</w:t>
      </w:r>
      <w:r w:rsidR="00DB4993">
        <w:rPr>
          <w:rFonts w:ascii="Calibri" w:hAnsi="Calibri" w:cs="Arial"/>
          <w:b/>
        </w:rPr>
        <w:t xml:space="preserve"> Organigram</w:t>
      </w:r>
    </w:p>
    <w:sectPr w:rsidR="000C72F0" w:rsidRPr="00F4688F" w:rsidSect="0079470F">
      <w:footerReference w:type="default" r:id="rId24"/>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CC8" w:rsidRDefault="00524CC8" w:rsidP="00C60994">
      <w:pPr>
        <w:spacing w:after="0" w:line="240" w:lineRule="auto"/>
      </w:pPr>
      <w:r>
        <w:separator/>
      </w:r>
    </w:p>
  </w:endnote>
  <w:endnote w:type="continuationSeparator" w:id="0">
    <w:p w:rsidR="00524CC8" w:rsidRDefault="00524CC8" w:rsidP="00C60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UnicodeMS">
    <w:altName w:val="SimSun"/>
    <w:panose1 w:val="00000000000000000000"/>
    <w:charset w:val="81"/>
    <w:family w:val="auto"/>
    <w:notTrueType/>
    <w:pitch w:val="default"/>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327" w:rsidRPr="003B5782" w:rsidRDefault="003B5782" w:rsidP="003B5782">
    <w:pPr>
      <w:pStyle w:val="Footer"/>
      <w:pBdr>
        <w:top w:val="single" w:sz="4" w:space="1" w:color="D9D9D9" w:themeColor="background1" w:themeShade="D9"/>
      </w:pBdr>
      <w:rPr>
        <w:rFonts w:asciiTheme="minorHAnsi" w:hAnsiTheme="minorHAnsi"/>
        <w:b/>
        <w:bCs/>
        <w:color w:val="808080" w:themeColor="background1" w:themeShade="80"/>
        <w:sz w:val="16"/>
        <w:szCs w:val="16"/>
      </w:rPr>
    </w:pPr>
    <w:r w:rsidRPr="003B5782">
      <w:rPr>
        <w:rFonts w:asciiTheme="minorHAnsi" w:hAnsiTheme="minorHAnsi"/>
        <w:b/>
        <w:color w:val="808080" w:themeColor="background1" w:themeShade="80"/>
        <w:sz w:val="16"/>
        <w:szCs w:val="16"/>
      </w:rPr>
      <w:t xml:space="preserve">Navitas Quality Manual </w:t>
    </w:r>
    <w:r w:rsidR="003018EA">
      <w:rPr>
        <w:rFonts w:asciiTheme="minorHAnsi" w:hAnsiTheme="minorHAnsi"/>
        <w:i/>
        <w:color w:val="808080" w:themeColor="background1" w:themeShade="80"/>
        <w:sz w:val="16"/>
        <w:szCs w:val="16"/>
      </w:rPr>
      <w:t>Version 1.17</w:t>
    </w:r>
    <w:r w:rsidRPr="003B5782">
      <w:rPr>
        <w:rFonts w:asciiTheme="minorHAnsi" w:hAnsiTheme="minorHAnsi"/>
        <w:b/>
        <w:i/>
        <w:color w:val="808080" w:themeColor="background1" w:themeShade="80"/>
        <w:sz w:val="16"/>
        <w:szCs w:val="16"/>
      </w:rPr>
      <w:tab/>
    </w:r>
    <w:r w:rsidRPr="003B5782">
      <w:rPr>
        <w:rFonts w:asciiTheme="minorHAnsi" w:hAnsiTheme="minorHAnsi"/>
        <w:b/>
        <w:i/>
        <w:color w:val="808080" w:themeColor="background1" w:themeShade="80"/>
        <w:sz w:val="16"/>
        <w:szCs w:val="16"/>
      </w:rPr>
      <w:tab/>
    </w:r>
    <w:r w:rsidRPr="003B5782">
      <w:rPr>
        <w:rFonts w:asciiTheme="minorHAnsi" w:hAnsiTheme="minorHAnsi"/>
        <w:b/>
        <w:i/>
        <w:color w:val="808080" w:themeColor="background1" w:themeShade="80"/>
        <w:sz w:val="16"/>
        <w:szCs w:val="16"/>
      </w:rPr>
      <w:tab/>
    </w:r>
    <w:sdt>
      <w:sdtPr>
        <w:rPr>
          <w:rFonts w:asciiTheme="minorHAnsi" w:hAnsiTheme="minorHAnsi"/>
          <w:b/>
          <w:color w:val="808080" w:themeColor="background1" w:themeShade="80"/>
          <w:sz w:val="16"/>
          <w:szCs w:val="16"/>
        </w:rPr>
        <w:id w:val="-429589383"/>
        <w:docPartObj>
          <w:docPartGallery w:val="Page Numbers (Bottom of Page)"/>
          <w:docPartUnique/>
        </w:docPartObj>
      </w:sdtPr>
      <w:sdtEndPr>
        <w:rPr>
          <w:spacing w:val="60"/>
        </w:rPr>
      </w:sdtEndPr>
      <w:sdtContent>
        <w:r w:rsidR="00F633A7" w:rsidRPr="003B5782">
          <w:rPr>
            <w:rFonts w:asciiTheme="minorHAnsi" w:hAnsiTheme="minorHAnsi"/>
            <w:b/>
            <w:color w:val="808080" w:themeColor="background1" w:themeShade="80"/>
            <w:sz w:val="16"/>
            <w:szCs w:val="16"/>
          </w:rPr>
          <w:fldChar w:fldCharType="begin"/>
        </w:r>
        <w:r w:rsidR="00F633A7" w:rsidRPr="003B5782">
          <w:rPr>
            <w:rFonts w:asciiTheme="minorHAnsi" w:hAnsiTheme="minorHAnsi"/>
            <w:b/>
            <w:color w:val="808080" w:themeColor="background1" w:themeShade="80"/>
            <w:sz w:val="16"/>
            <w:szCs w:val="16"/>
          </w:rPr>
          <w:instrText xml:space="preserve"> PAGE   \* MERGEFORMAT </w:instrText>
        </w:r>
        <w:r w:rsidR="00F633A7" w:rsidRPr="003B5782">
          <w:rPr>
            <w:rFonts w:asciiTheme="minorHAnsi" w:hAnsiTheme="minorHAnsi"/>
            <w:b/>
            <w:color w:val="808080" w:themeColor="background1" w:themeShade="80"/>
            <w:sz w:val="16"/>
            <w:szCs w:val="16"/>
          </w:rPr>
          <w:fldChar w:fldCharType="separate"/>
        </w:r>
        <w:r w:rsidR="00A374D2" w:rsidRPr="00A374D2">
          <w:rPr>
            <w:rFonts w:asciiTheme="minorHAnsi" w:hAnsiTheme="minorHAnsi"/>
            <w:b/>
            <w:bCs/>
            <w:noProof/>
            <w:color w:val="808080" w:themeColor="background1" w:themeShade="80"/>
            <w:sz w:val="16"/>
            <w:szCs w:val="16"/>
          </w:rPr>
          <w:t>1</w:t>
        </w:r>
        <w:r w:rsidR="00F633A7" w:rsidRPr="003B5782">
          <w:rPr>
            <w:rFonts w:asciiTheme="minorHAnsi" w:hAnsiTheme="minorHAnsi"/>
            <w:b/>
            <w:bCs/>
            <w:noProof/>
            <w:color w:val="808080" w:themeColor="background1" w:themeShade="80"/>
            <w:sz w:val="16"/>
            <w:szCs w:val="16"/>
          </w:rPr>
          <w:fldChar w:fldCharType="end"/>
        </w:r>
        <w:r w:rsidR="00F633A7" w:rsidRPr="003B5782">
          <w:rPr>
            <w:rFonts w:asciiTheme="minorHAnsi" w:hAnsiTheme="minorHAnsi"/>
            <w:b/>
            <w:bCs/>
            <w:color w:val="808080" w:themeColor="background1" w:themeShade="80"/>
            <w:sz w:val="16"/>
            <w:szCs w:val="16"/>
          </w:rPr>
          <w:t xml:space="preserve"> | </w:t>
        </w:r>
        <w:r w:rsidR="00F633A7" w:rsidRPr="003B5782">
          <w:rPr>
            <w:rFonts w:asciiTheme="minorHAnsi" w:hAnsiTheme="minorHAnsi"/>
            <w:b/>
            <w:color w:val="808080" w:themeColor="background1" w:themeShade="80"/>
            <w:spacing w:val="60"/>
            <w:sz w:val="16"/>
            <w:szCs w:val="16"/>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CC8" w:rsidRDefault="00524CC8" w:rsidP="00C60994">
      <w:pPr>
        <w:spacing w:after="0" w:line="240" w:lineRule="auto"/>
      </w:pPr>
      <w:r>
        <w:separator/>
      </w:r>
    </w:p>
  </w:footnote>
  <w:footnote w:type="continuationSeparator" w:id="0">
    <w:p w:rsidR="00524CC8" w:rsidRDefault="00524CC8" w:rsidP="00C60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E38"/>
    <w:multiLevelType w:val="hybridMultilevel"/>
    <w:tmpl w:val="BA26E8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7B451A"/>
    <w:multiLevelType w:val="hybridMultilevel"/>
    <w:tmpl w:val="58C633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84D1809"/>
    <w:multiLevelType w:val="hybridMultilevel"/>
    <w:tmpl w:val="ABDCCC5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70B07"/>
    <w:multiLevelType w:val="hybridMultilevel"/>
    <w:tmpl w:val="74961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A0F26"/>
    <w:multiLevelType w:val="hybridMultilevel"/>
    <w:tmpl w:val="D36A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87F47"/>
    <w:multiLevelType w:val="hybridMultilevel"/>
    <w:tmpl w:val="337A29B6"/>
    <w:lvl w:ilvl="0" w:tplc="9BBC01D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879DD"/>
    <w:multiLevelType w:val="hybridMultilevel"/>
    <w:tmpl w:val="D708E7D2"/>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8180658"/>
    <w:multiLevelType w:val="hybridMultilevel"/>
    <w:tmpl w:val="2496D9E6"/>
    <w:lvl w:ilvl="0" w:tplc="673A7AC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C7A9C"/>
    <w:multiLevelType w:val="multilevel"/>
    <w:tmpl w:val="207808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B820CA"/>
    <w:multiLevelType w:val="hybridMultilevel"/>
    <w:tmpl w:val="4D02D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F9171C"/>
    <w:multiLevelType w:val="hybridMultilevel"/>
    <w:tmpl w:val="92068A82"/>
    <w:lvl w:ilvl="0" w:tplc="08090017">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8708C"/>
    <w:multiLevelType w:val="hybridMultilevel"/>
    <w:tmpl w:val="4CE41A56"/>
    <w:lvl w:ilvl="0" w:tplc="FDF43332">
      <w:start w:val="1"/>
      <w:numFmt w:val="bullet"/>
      <w:lvlText w:val=""/>
      <w:lvlJc w:val="left"/>
      <w:pPr>
        <w:ind w:left="785" w:hanging="360"/>
      </w:pPr>
      <w:rPr>
        <w:rFonts w:ascii="Wingdings" w:hAnsi="Wingdings" w:hint="default"/>
        <w:color w:val="76923C" w:themeColor="accent3" w:themeShade="BF"/>
        <w:sz w:val="18"/>
        <w:szCs w:val="18"/>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24504357"/>
    <w:multiLevelType w:val="hybridMultilevel"/>
    <w:tmpl w:val="4B1844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5EE5564"/>
    <w:multiLevelType w:val="multilevel"/>
    <w:tmpl w:val="F2E83276"/>
    <w:lvl w:ilvl="0">
      <w:start w:val="43"/>
      <w:numFmt w:val="decimal"/>
      <w:pStyle w:val="MRheading1"/>
      <w:lvlText w:val="%1"/>
      <w:lvlJc w:val="left"/>
      <w:pPr>
        <w:tabs>
          <w:tab w:val="num" w:pos="720"/>
        </w:tabs>
        <w:ind w:left="720" w:hanging="720"/>
      </w:pPr>
      <w:rPr>
        <w:rFonts w:ascii="Arial" w:hAnsi="Arial" w:cs="Times New Roman" w:hint="default"/>
        <w:b/>
        <w:i w:val="0"/>
        <w:strike w:val="0"/>
        <w:dstrike w:val="0"/>
        <w:sz w:val="22"/>
        <w:u w:val="none"/>
        <w:effect w:val="none"/>
      </w:rPr>
    </w:lvl>
    <w:lvl w:ilvl="1">
      <w:start w:val="3"/>
      <w:numFmt w:val="decimal"/>
      <w:pStyle w:val="MRheading2Char"/>
      <w:lvlText w:val="%1.%2"/>
      <w:lvlJc w:val="left"/>
      <w:pPr>
        <w:tabs>
          <w:tab w:val="num" w:pos="862"/>
        </w:tabs>
        <w:ind w:left="862" w:hanging="720"/>
      </w:pPr>
      <w:rPr>
        <w:rFonts w:ascii="Helvetica" w:hAnsi="Helvetica" w:cs="Helvetica" w:hint="default"/>
        <w:b/>
        <w:i w:val="0"/>
        <w:iCs w:val="0"/>
        <w:strike w:val="0"/>
        <w:dstrike w:val="0"/>
        <w:color w:val="auto"/>
        <w:sz w:val="22"/>
        <w:szCs w:val="22"/>
        <w:u w:val="none"/>
        <w:effect w:val="none"/>
      </w:rPr>
    </w:lvl>
    <w:lvl w:ilvl="2">
      <w:start w:val="1"/>
      <w:numFmt w:val="decimal"/>
      <w:pStyle w:val="MRheading3Char"/>
      <w:lvlText w:val="%1.%2.%3"/>
      <w:lvlJc w:val="left"/>
      <w:pPr>
        <w:tabs>
          <w:tab w:val="num" w:pos="1931"/>
        </w:tabs>
        <w:ind w:left="1931" w:hanging="1080"/>
      </w:pPr>
      <w:rPr>
        <w:rFonts w:ascii="Arial" w:hAnsi="Arial" w:cs="Times New Roman" w:hint="default"/>
        <w:b/>
        <w:i w:val="0"/>
        <w:strike w:val="0"/>
        <w:dstrike w:val="0"/>
        <w:sz w:val="22"/>
        <w:u w:val="none"/>
        <w:effect w:val="none"/>
      </w:rPr>
    </w:lvl>
    <w:lvl w:ilvl="3">
      <w:start w:val="1"/>
      <w:numFmt w:val="lowerRoman"/>
      <w:pStyle w:val="MRheading4"/>
      <w:lvlText w:val="(%4)"/>
      <w:lvlJc w:val="left"/>
      <w:pPr>
        <w:tabs>
          <w:tab w:val="num" w:pos="2520"/>
        </w:tabs>
        <w:ind w:left="2520" w:hanging="720"/>
      </w:pPr>
      <w:rPr>
        <w:rFonts w:ascii="Arial" w:hAnsi="Arial" w:cs="Times New Roman" w:hint="default"/>
        <w:b w:val="0"/>
        <w:i w:val="0"/>
        <w:strike w:val="0"/>
        <w:dstrike w:val="0"/>
        <w:sz w:val="22"/>
        <w:u w:val="none"/>
        <w:effect w:val="none"/>
      </w:rPr>
    </w:lvl>
    <w:lvl w:ilvl="4">
      <w:start w:val="1"/>
      <w:numFmt w:val="upperLetter"/>
      <w:pStyle w:val="MRheading5"/>
      <w:lvlText w:val="(%5)"/>
      <w:lvlJc w:val="left"/>
      <w:pPr>
        <w:tabs>
          <w:tab w:val="num" w:pos="3240"/>
        </w:tabs>
        <w:ind w:left="3240" w:hanging="720"/>
      </w:pPr>
      <w:rPr>
        <w:rFonts w:ascii="Arial" w:hAnsi="Arial" w:cs="Times New Roman" w:hint="default"/>
        <w:b w:val="0"/>
        <w:i w:val="0"/>
        <w:strike w:val="0"/>
        <w:dstrike w:val="0"/>
        <w:sz w:val="22"/>
        <w:u w:val="none"/>
        <w:effect w:val="none"/>
      </w:rPr>
    </w:lvl>
    <w:lvl w:ilvl="5">
      <w:start w:val="1"/>
      <w:numFmt w:val="decimal"/>
      <w:pStyle w:val="MRheading6"/>
      <w:lvlText w:val="%6)"/>
      <w:lvlJc w:val="left"/>
      <w:pPr>
        <w:tabs>
          <w:tab w:val="num" w:pos="3960"/>
        </w:tabs>
        <w:ind w:left="3960" w:hanging="720"/>
      </w:pPr>
      <w:rPr>
        <w:rFonts w:ascii="Arial" w:hAnsi="Arial" w:cs="Times New Roman" w:hint="default"/>
        <w:b w:val="0"/>
        <w:i w:val="0"/>
        <w:strike w:val="0"/>
        <w:dstrike w:val="0"/>
        <w:sz w:val="22"/>
        <w:u w:val="none"/>
        <w:effect w:val="none"/>
      </w:rPr>
    </w:lvl>
    <w:lvl w:ilvl="6">
      <w:start w:val="1"/>
      <w:numFmt w:val="lowerLetter"/>
      <w:pStyle w:val="MRheading7"/>
      <w:lvlText w:val="%7)"/>
      <w:lvlJc w:val="left"/>
      <w:pPr>
        <w:tabs>
          <w:tab w:val="num" w:pos="4680"/>
        </w:tabs>
        <w:ind w:left="4680" w:hanging="720"/>
      </w:pPr>
      <w:rPr>
        <w:rFonts w:ascii="Arial" w:hAnsi="Arial" w:cs="Times New Roman" w:hint="default"/>
        <w:b w:val="0"/>
        <w:i w:val="0"/>
        <w:strike w:val="0"/>
        <w:dstrike w:val="0"/>
        <w:sz w:val="22"/>
        <w:u w:val="none"/>
        <w:effect w:val="none"/>
      </w:rPr>
    </w:lvl>
    <w:lvl w:ilvl="7">
      <w:start w:val="1"/>
      <w:numFmt w:val="lowerRoman"/>
      <w:pStyle w:val="MRheading8"/>
      <w:lvlText w:val="%8)"/>
      <w:lvlJc w:val="left"/>
      <w:pPr>
        <w:tabs>
          <w:tab w:val="num" w:pos="5400"/>
        </w:tabs>
        <w:ind w:left="5400" w:hanging="720"/>
      </w:pPr>
      <w:rPr>
        <w:rFonts w:ascii="Arial" w:hAnsi="Arial" w:cs="Times New Roman" w:hint="default"/>
        <w:b w:val="0"/>
        <w:i w:val="0"/>
        <w:strike w:val="0"/>
        <w:dstrike w:val="0"/>
        <w:sz w:val="22"/>
        <w:u w:val="none"/>
        <w:effect w:val="none"/>
      </w:rPr>
    </w:lvl>
    <w:lvl w:ilvl="8">
      <w:start w:val="1"/>
      <w:numFmt w:val="upperLetter"/>
      <w:pStyle w:val="MRheading9"/>
      <w:lvlText w:val="%9)"/>
      <w:lvlJc w:val="left"/>
      <w:pPr>
        <w:tabs>
          <w:tab w:val="num" w:pos="6120"/>
        </w:tabs>
        <w:ind w:left="6120" w:hanging="720"/>
      </w:pPr>
      <w:rPr>
        <w:rFonts w:ascii="Arial" w:hAnsi="Arial" w:cs="Times New Roman" w:hint="default"/>
        <w:b w:val="0"/>
        <w:i w:val="0"/>
        <w:strike w:val="0"/>
        <w:dstrike w:val="0"/>
        <w:sz w:val="22"/>
        <w:u w:val="none"/>
        <w:effect w:val="none"/>
      </w:rPr>
    </w:lvl>
  </w:abstractNum>
  <w:abstractNum w:abstractNumId="14" w15:restartNumberingAfterBreak="0">
    <w:nsid w:val="26FC58B4"/>
    <w:multiLevelType w:val="hybridMultilevel"/>
    <w:tmpl w:val="8212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E6326"/>
    <w:multiLevelType w:val="hybridMultilevel"/>
    <w:tmpl w:val="BAAE4C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C265BD6"/>
    <w:multiLevelType w:val="hybridMultilevel"/>
    <w:tmpl w:val="AEE657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E39058B"/>
    <w:multiLevelType w:val="hybridMultilevel"/>
    <w:tmpl w:val="A7A8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437BD"/>
    <w:multiLevelType w:val="multilevel"/>
    <w:tmpl w:val="0D6097E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4A2058"/>
    <w:multiLevelType w:val="multilevel"/>
    <w:tmpl w:val="096A857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521AD1"/>
    <w:multiLevelType w:val="hybridMultilevel"/>
    <w:tmpl w:val="0F1CE25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36994C56"/>
    <w:multiLevelType w:val="hybridMultilevel"/>
    <w:tmpl w:val="8F10C0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36EE7E45"/>
    <w:multiLevelType w:val="hybridMultilevel"/>
    <w:tmpl w:val="DFDEC374"/>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AD693E"/>
    <w:multiLevelType w:val="multilevel"/>
    <w:tmpl w:val="5AB2FB2A"/>
    <w:lvl w:ilvl="0">
      <w:start w:val="7"/>
      <w:numFmt w:val="decimal"/>
      <w:lvlText w:val="%1"/>
      <w:lvlJc w:val="left"/>
      <w:pPr>
        <w:ind w:left="435" w:hanging="435"/>
      </w:pPr>
      <w:rPr>
        <w:rFonts w:hint="default"/>
        <w:sz w:val="22"/>
      </w:rPr>
    </w:lvl>
    <w:lvl w:ilvl="1">
      <w:start w:val="2"/>
      <w:numFmt w:val="decimal"/>
      <w:lvlText w:val="%1.%2"/>
      <w:lvlJc w:val="left"/>
      <w:pPr>
        <w:ind w:left="435" w:hanging="435"/>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4" w15:restartNumberingAfterBreak="0">
    <w:nsid w:val="440D7399"/>
    <w:multiLevelType w:val="hybridMultilevel"/>
    <w:tmpl w:val="2F1A6C7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5" w15:restartNumberingAfterBreak="0">
    <w:nsid w:val="49D64FA1"/>
    <w:multiLevelType w:val="hybridMultilevel"/>
    <w:tmpl w:val="0FAC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233B54"/>
    <w:multiLevelType w:val="multilevel"/>
    <w:tmpl w:val="73A04D2E"/>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B43015B"/>
    <w:multiLevelType w:val="hybridMultilevel"/>
    <w:tmpl w:val="6FF821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E569B1"/>
    <w:multiLevelType w:val="hybridMultilevel"/>
    <w:tmpl w:val="F4981A12"/>
    <w:lvl w:ilvl="0" w:tplc="D74E77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C04A6"/>
    <w:multiLevelType w:val="hybridMultilevel"/>
    <w:tmpl w:val="247280BE"/>
    <w:lvl w:ilvl="0" w:tplc="7E02A6EE">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B23E3B"/>
    <w:multiLevelType w:val="hybridMultilevel"/>
    <w:tmpl w:val="2CC0073A"/>
    <w:lvl w:ilvl="0" w:tplc="66C4C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636B49"/>
    <w:multiLevelType w:val="hybridMultilevel"/>
    <w:tmpl w:val="1CB81978"/>
    <w:lvl w:ilvl="0" w:tplc="0809001B">
      <w:start w:val="1"/>
      <w:numFmt w:val="lowerRoman"/>
      <w:lvlText w:val="%1."/>
      <w:lvlJc w:val="right"/>
      <w:pPr>
        <w:tabs>
          <w:tab w:val="num" w:pos="1440"/>
        </w:tabs>
        <w:ind w:left="1440" w:hanging="360"/>
      </w:pPr>
    </w:lvl>
    <w:lvl w:ilvl="1" w:tplc="7BE44A78">
      <w:start w:val="1"/>
      <w:numFmt w:val="decimal"/>
      <w:lvlText w:val="%2"/>
      <w:lvlJc w:val="left"/>
      <w:pPr>
        <w:tabs>
          <w:tab w:val="num" w:pos="2160"/>
        </w:tabs>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2" w15:restartNumberingAfterBreak="0">
    <w:nsid w:val="5E244D18"/>
    <w:multiLevelType w:val="hybridMultilevel"/>
    <w:tmpl w:val="AD9236A8"/>
    <w:lvl w:ilvl="0" w:tplc="08090001">
      <w:start w:val="1"/>
      <w:numFmt w:val="bullet"/>
      <w:lvlText w:val=""/>
      <w:lvlJc w:val="left"/>
      <w:pPr>
        <w:ind w:left="643" w:hanging="360"/>
      </w:pPr>
      <w:rPr>
        <w:rFonts w:ascii="Symbol" w:hAnsi="Symbol" w:hint="default"/>
        <w:color w:val="76923C" w:themeColor="accent3" w:themeShade="BF"/>
        <w:sz w:val="18"/>
        <w:szCs w:val="18"/>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3" w15:restartNumberingAfterBreak="0">
    <w:nsid w:val="5E412DAB"/>
    <w:multiLevelType w:val="multilevel"/>
    <w:tmpl w:val="839690E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ED4099"/>
    <w:multiLevelType w:val="hybridMultilevel"/>
    <w:tmpl w:val="DCB48DC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4F014C7"/>
    <w:multiLevelType w:val="multilevel"/>
    <w:tmpl w:val="92D466AC"/>
    <w:lvl w:ilvl="0">
      <w:start w:val="8"/>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4F30884"/>
    <w:multiLevelType w:val="hybridMultilevel"/>
    <w:tmpl w:val="C65C43F4"/>
    <w:lvl w:ilvl="0" w:tplc="7DC46B8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A15ACD"/>
    <w:multiLevelType w:val="hybridMultilevel"/>
    <w:tmpl w:val="40BE292C"/>
    <w:lvl w:ilvl="0" w:tplc="57164E0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C77BF3"/>
    <w:multiLevelType w:val="hybridMultilevel"/>
    <w:tmpl w:val="CAE2E5E2"/>
    <w:lvl w:ilvl="0" w:tplc="50A2E2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111178"/>
    <w:multiLevelType w:val="hybridMultilevel"/>
    <w:tmpl w:val="C16CC0A2"/>
    <w:lvl w:ilvl="0" w:tplc="9C2CAC9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883D2D"/>
    <w:multiLevelType w:val="hybridMultilevel"/>
    <w:tmpl w:val="EAA8F00A"/>
    <w:lvl w:ilvl="0" w:tplc="600C073C">
      <w:start w:val="1"/>
      <w:numFmt w:val="bullet"/>
      <w:lvlText w:val=""/>
      <w:lvlJc w:val="left"/>
      <w:pPr>
        <w:ind w:left="720" w:hanging="360"/>
      </w:pPr>
      <w:rPr>
        <w:rFonts w:ascii="Wingdings" w:hAnsi="Wingdings" w:hint="default"/>
        <w:color w:val="00B050"/>
        <w:sz w:val="28"/>
        <w:szCs w:val="28"/>
      </w:rPr>
    </w:lvl>
    <w:lvl w:ilvl="1" w:tplc="59BAC554">
      <w:start w:val="1"/>
      <w:numFmt w:val="bullet"/>
      <w:lvlText w:val=""/>
      <w:lvlJc w:val="left"/>
      <w:pPr>
        <w:ind w:left="1440" w:hanging="360"/>
      </w:pPr>
      <w:rPr>
        <w:rFonts w:ascii="Webdings" w:hAnsi="Webdings" w:hint="default"/>
        <w:color w:val="92D050"/>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A63B77"/>
    <w:multiLevelType w:val="hybridMultilevel"/>
    <w:tmpl w:val="256893EA"/>
    <w:lvl w:ilvl="0" w:tplc="1CC4FC5C">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644AAF"/>
    <w:multiLevelType w:val="hybridMultilevel"/>
    <w:tmpl w:val="A420C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98664A"/>
    <w:multiLevelType w:val="hybridMultilevel"/>
    <w:tmpl w:val="E8A47684"/>
    <w:lvl w:ilvl="0" w:tplc="600C073C">
      <w:start w:val="1"/>
      <w:numFmt w:val="bullet"/>
      <w:lvlText w:val=""/>
      <w:lvlJc w:val="left"/>
      <w:pPr>
        <w:ind w:left="720" w:hanging="360"/>
      </w:pPr>
      <w:rPr>
        <w:rFonts w:ascii="Wingdings" w:hAnsi="Wingdings" w:hint="default"/>
        <w:color w:val="00B050"/>
        <w:sz w:val="28"/>
        <w:szCs w:val="28"/>
      </w:rPr>
    </w:lvl>
    <w:lvl w:ilvl="1" w:tplc="396C6E0C">
      <w:start w:val="1"/>
      <w:numFmt w:val="bullet"/>
      <w:lvlText w:val=""/>
      <w:lvlJc w:val="left"/>
      <w:pPr>
        <w:ind w:left="1211" w:hanging="360"/>
      </w:pPr>
      <w:rPr>
        <w:rFonts w:ascii="Webdings" w:hAnsi="Webdings" w:hint="default"/>
        <w:color w:val="92D050"/>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3D7C1F"/>
    <w:multiLevelType w:val="hybridMultilevel"/>
    <w:tmpl w:val="12861AD4"/>
    <w:lvl w:ilvl="0" w:tplc="08090001">
      <w:start w:val="1"/>
      <w:numFmt w:val="bullet"/>
      <w:lvlText w:val=""/>
      <w:lvlJc w:val="left"/>
      <w:pPr>
        <w:ind w:left="1440" w:hanging="360"/>
      </w:pPr>
      <w:rPr>
        <w:rFonts w:ascii="Symbol" w:hAnsi="Symbol" w:hint="default"/>
        <w:color w:val="00B050"/>
        <w:sz w:val="28"/>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2476A11"/>
    <w:multiLevelType w:val="hybridMultilevel"/>
    <w:tmpl w:val="BE98547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2251CD"/>
    <w:multiLevelType w:val="multilevel"/>
    <w:tmpl w:val="9F8ADB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AFF5110"/>
    <w:multiLevelType w:val="hybridMultilevel"/>
    <w:tmpl w:val="34C49BB6"/>
    <w:lvl w:ilvl="0" w:tplc="15C0BD90">
      <w:start w:val="6"/>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FC4ECD"/>
    <w:multiLevelType w:val="multilevel"/>
    <w:tmpl w:val="9CE44A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lvlOverride w:ilvl="0">
      <w:startOverride w:val="4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0"/>
  </w:num>
  <w:num w:numId="4">
    <w:abstractNumId w:val="43"/>
  </w:num>
  <w:num w:numId="5">
    <w:abstractNumId w:val="5"/>
  </w:num>
  <w:num w:numId="6">
    <w:abstractNumId w:val="36"/>
  </w:num>
  <w:num w:numId="7">
    <w:abstractNumId w:val="7"/>
  </w:num>
  <w:num w:numId="8">
    <w:abstractNumId w:val="29"/>
  </w:num>
  <w:num w:numId="9">
    <w:abstractNumId w:val="38"/>
  </w:num>
  <w:num w:numId="10">
    <w:abstractNumId w:val="47"/>
  </w:num>
  <w:num w:numId="11">
    <w:abstractNumId w:val="30"/>
  </w:num>
  <w:num w:numId="12">
    <w:abstractNumId w:val="28"/>
  </w:num>
  <w:num w:numId="13">
    <w:abstractNumId w:val="39"/>
  </w:num>
  <w:num w:numId="14">
    <w:abstractNumId w:val="41"/>
  </w:num>
  <w:num w:numId="15">
    <w:abstractNumId w:val="37"/>
  </w:num>
  <w:num w:numId="16">
    <w:abstractNumId w:val="8"/>
  </w:num>
  <w:num w:numId="17">
    <w:abstractNumId w:val="46"/>
  </w:num>
  <w:num w:numId="18">
    <w:abstractNumId w:val="1"/>
  </w:num>
  <w:num w:numId="19">
    <w:abstractNumId w:val="20"/>
  </w:num>
  <w:num w:numId="20">
    <w:abstractNumId w:val="45"/>
  </w:num>
  <w:num w:numId="21">
    <w:abstractNumId w:val="31"/>
  </w:num>
  <w:num w:numId="22">
    <w:abstractNumId w:val="15"/>
  </w:num>
  <w:num w:numId="23">
    <w:abstractNumId w:val="27"/>
  </w:num>
  <w:num w:numId="24">
    <w:abstractNumId w:val="48"/>
  </w:num>
  <w:num w:numId="25">
    <w:abstractNumId w:val="26"/>
  </w:num>
  <w:num w:numId="26">
    <w:abstractNumId w:val="22"/>
  </w:num>
  <w:num w:numId="27">
    <w:abstractNumId w:val="33"/>
  </w:num>
  <w:num w:numId="28">
    <w:abstractNumId w:val="44"/>
  </w:num>
  <w:num w:numId="29">
    <w:abstractNumId w:val="10"/>
  </w:num>
  <w:num w:numId="30">
    <w:abstractNumId w:val="14"/>
  </w:num>
  <w:num w:numId="31">
    <w:abstractNumId w:val="17"/>
  </w:num>
  <w:num w:numId="32">
    <w:abstractNumId w:val="0"/>
  </w:num>
  <w:num w:numId="33">
    <w:abstractNumId w:val="25"/>
  </w:num>
  <w:num w:numId="34">
    <w:abstractNumId w:val="4"/>
  </w:num>
  <w:num w:numId="35">
    <w:abstractNumId w:val="32"/>
  </w:num>
  <w:num w:numId="36">
    <w:abstractNumId w:val="12"/>
  </w:num>
  <w:num w:numId="37">
    <w:abstractNumId w:val="34"/>
  </w:num>
  <w:num w:numId="38">
    <w:abstractNumId w:val="23"/>
  </w:num>
  <w:num w:numId="39">
    <w:abstractNumId w:val="16"/>
  </w:num>
  <w:num w:numId="40">
    <w:abstractNumId w:val="19"/>
  </w:num>
  <w:num w:numId="41">
    <w:abstractNumId w:val="35"/>
  </w:num>
  <w:num w:numId="42">
    <w:abstractNumId w:val="18"/>
  </w:num>
  <w:num w:numId="43">
    <w:abstractNumId w:val="6"/>
  </w:num>
  <w:num w:numId="44">
    <w:abstractNumId w:val="24"/>
  </w:num>
  <w:num w:numId="45">
    <w:abstractNumId w:val="3"/>
  </w:num>
  <w:num w:numId="46">
    <w:abstractNumId w:val="21"/>
  </w:num>
  <w:num w:numId="47">
    <w:abstractNumId w:val="2"/>
  </w:num>
  <w:num w:numId="48">
    <w:abstractNumId w:val="9"/>
  </w:num>
  <w:num w:numId="49">
    <w:abstractNumId w:val="42"/>
  </w:num>
  <w:num w:numId="50">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A2"/>
    <w:rsid w:val="00001E57"/>
    <w:rsid w:val="00006C0F"/>
    <w:rsid w:val="00015616"/>
    <w:rsid w:val="00026733"/>
    <w:rsid w:val="00026FA0"/>
    <w:rsid w:val="00031A27"/>
    <w:rsid w:val="00031EED"/>
    <w:rsid w:val="000325EA"/>
    <w:rsid w:val="00034AD8"/>
    <w:rsid w:val="00037751"/>
    <w:rsid w:val="00046CB6"/>
    <w:rsid w:val="00050567"/>
    <w:rsid w:val="00050D78"/>
    <w:rsid w:val="000628FE"/>
    <w:rsid w:val="00063F6C"/>
    <w:rsid w:val="00066677"/>
    <w:rsid w:val="00073DD6"/>
    <w:rsid w:val="00074079"/>
    <w:rsid w:val="000A2132"/>
    <w:rsid w:val="000C4B5A"/>
    <w:rsid w:val="000C72F0"/>
    <w:rsid w:val="000D20D8"/>
    <w:rsid w:val="000D2E58"/>
    <w:rsid w:val="000E15A4"/>
    <w:rsid w:val="000E20D2"/>
    <w:rsid w:val="000E6C09"/>
    <w:rsid w:val="000E743A"/>
    <w:rsid w:val="00100AF3"/>
    <w:rsid w:val="00104B30"/>
    <w:rsid w:val="0010697F"/>
    <w:rsid w:val="001230EF"/>
    <w:rsid w:val="001233DD"/>
    <w:rsid w:val="001250B4"/>
    <w:rsid w:val="00131DF3"/>
    <w:rsid w:val="00133A0B"/>
    <w:rsid w:val="00137CC4"/>
    <w:rsid w:val="001416BA"/>
    <w:rsid w:val="001432B3"/>
    <w:rsid w:val="00146A74"/>
    <w:rsid w:val="001503D4"/>
    <w:rsid w:val="00157494"/>
    <w:rsid w:val="0016167E"/>
    <w:rsid w:val="00162008"/>
    <w:rsid w:val="0017367A"/>
    <w:rsid w:val="001743D4"/>
    <w:rsid w:val="00177546"/>
    <w:rsid w:val="001931C3"/>
    <w:rsid w:val="001938C9"/>
    <w:rsid w:val="00196723"/>
    <w:rsid w:val="001A1B69"/>
    <w:rsid w:val="001A1B8B"/>
    <w:rsid w:val="001A783D"/>
    <w:rsid w:val="001B45C3"/>
    <w:rsid w:val="001C2654"/>
    <w:rsid w:val="001D0A67"/>
    <w:rsid w:val="001D4E53"/>
    <w:rsid w:val="001E7126"/>
    <w:rsid w:val="001F1D25"/>
    <w:rsid w:val="00202B0D"/>
    <w:rsid w:val="002032E0"/>
    <w:rsid w:val="00204CE0"/>
    <w:rsid w:val="00206EF2"/>
    <w:rsid w:val="002211E2"/>
    <w:rsid w:val="00221297"/>
    <w:rsid w:val="00226C1F"/>
    <w:rsid w:val="00230DFA"/>
    <w:rsid w:val="002355E2"/>
    <w:rsid w:val="00235CA5"/>
    <w:rsid w:val="00251151"/>
    <w:rsid w:val="0025331B"/>
    <w:rsid w:val="00255E72"/>
    <w:rsid w:val="00264558"/>
    <w:rsid w:val="00270608"/>
    <w:rsid w:val="00275D48"/>
    <w:rsid w:val="00277A89"/>
    <w:rsid w:val="002972AB"/>
    <w:rsid w:val="002A274B"/>
    <w:rsid w:val="002A457F"/>
    <w:rsid w:val="002A4A50"/>
    <w:rsid w:val="002A4D3F"/>
    <w:rsid w:val="002A5104"/>
    <w:rsid w:val="002A78AB"/>
    <w:rsid w:val="002B0695"/>
    <w:rsid w:val="002B20EB"/>
    <w:rsid w:val="002B399E"/>
    <w:rsid w:val="002B7315"/>
    <w:rsid w:val="002B7362"/>
    <w:rsid w:val="002C023B"/>
    <w:rsid w:val="002D4FDF"/>
    <w:rsid w:val="002E1232"/>
    <w:rsid w:val="002E3052"/>
    <w:rsid w:val="002E33B8"/>
    <w:rsid w:val="002E34A2"/>
    <w:rsid w:val="002E6D9D"/>
    <w:rsid w:val="002F1D40"/>
    <w:rsid w:val="003018EA"/>
    <w:rsid w:val="003031C8"/>
    <w:rsid w:val="003067A1"/>
    <w:rsid w:val="0031483F"/>
    <w:rsid w:val="00317012"/>
    <w:rsid w:val="00325D02"/>
    <w:rsid w:val="00326C83"/>
    <w:rsid w:val="00327654"/>
    <w:rsid w:val="003414A6"/>
    <w:rsid w:val="00342EC0"/>
    <w:rsid w:val="00362B73"/>
    <w:rsid w:val="00385215"/>
    <w:rsid w:val="003861A8"/>
    <w:rsid w:val="00387800"/>
    <w:rsid w:val="00394283"/>
    <w:rsid w:val="003962AC"/>
    <w:rsid w:val="003A0432"/>
    <w:rsid w:val="003B5653"/>
    <w:rsid w:val="003B5782"/>
    <w:rsid w:val="003C5C63"/>
    <w:rsid w:val="003C780A"/>
    <w:rsid w:val="003E6E1F"/>
    <w:rsid w:val="003E7DC5"/>
    <w:rsid w:val="003F049E"/>
    <w:rsid w:val="003F2402"/>
    <w:rsid w:val="003F68C3"/>
    <w:rsid w:val="00401965"/>
    <w:rsid w:val="00407207"/>
    <w:rsid w:val="0041048B"/>
    <w:rsid w:val="00414983"/>
    <w:rsid w:val="0041695E"/>
    <w:rsid w:val="00430087"/>
    <w:rsid w:val="004336FC"/>
    <w:rsid w:val="004350E1"/>
    <w:rsid w:val="00440744"/>
    <w:rsid w:val="004409A8"/>
    <w:rsid w:val="00444C70"/>
    <w:rsid w:val="0045682E"/>
    <w:rsid w:val="0046477B"/>
    <w:rsid w:val="004662E5"/>
    <w:rsid w:val="00467233"/>
    <w:rsid w:val="00470C33"/>
    <w:rsid w:val="00480434"/>
    <w:rsid w:val="004818F3"/>
    <w:rsid w:val="00492D7E"/>
    <w:rsid w:val="004964A1"/>
    <w:rsid w:val="0049667D"/>
    <w:rsid w:val="00496DE4"/>
    <w:rsid w:val="004A058C"/>
    <w:rsid w:val="004B5830"/>
    <w:rsid w:val="004C7126"/>
    <w:rsid w:val="004D04E6"/>
    <w:rsid w:val="004D2986"/>
    <w:rsid w:val="004F2B82"/>
    <w:rsid w:val="004F77B5"/>
    <w:rsid w:val="005065BB"/>
    <w:rsid w:val="005106CE"/>
    <w:rsid w:val="005110A8"/>
    <w:rsid w:val="005116EF"/>
    <w:rsid w:val="00514B55"/>
    <w:rsid w:val="00517E03"/>
    <w:rsid w:val="005223EC"/>
    <w:rsid w:val="0052332F"/>
    <w:rsid w:val="00523AB7"/>
    <w:rsid w:val="00524CC8"/>
    <w:rsid w:val="00530EE4"/>
    <w:rsid w:val="00532A26"/>
    <w:rsid w:val="005330A2"/>
    <w:rsid w:val="00543A90"/>
    <w:rsid w:val="00552159"/>
    <w:rsid w:val="00554923"/>
    <w:rsid w:val="00557519"/>
    <w:rsid w:val="00570CDB"/>
    <w:rsid w:val="00571FF6"/>
    <w:rsid w:val="0057253C"/>
    <w:rsid w:val="00573882"/>
    <w:rsid w:val="00574ACE"/>
    <w:rsid w:val="005776E0"/>
    <w:rsid w:val="00581AEB"/>
    <w:rsid w:val="00581DBE"/>
    <w:rsid w:val="0058439B"/>
    <w:rsid w:val="00590ABD"/>
    <w:rsid w:val="005A36DE"/>
    <w:rsid w:val="005A407B"/>
    <w:rsid w:val="005A474E"/>
    <w:rsid w:val="005B6655"/>
    <w:rsid w:val="005C4FDA"/>
    <w:rsid w:val="005E06C4"/>
    <w:rsid w:val="005F1962"/>
    <w:rsid w:val="005F4296"/>
    <w:rsid w:val="005F4AA0"/>
    <w:rsid w:val="00605D2B"/>
    <w:rsid w:val="00607191"/>
    <w:rsid w:val="00617472"/>
    <w:rsid w:val="0062316F"/>
    <w:rsid w:val="00625C83"/>
    <w:rsid w:val="00626346"/>
    <w:rsid w:val="00636D6F"/>
    <w:rsid w:val="00637BE3"/>
    <w:rsid w:val="00645947"/>
    <w:rsid w:val="0067123D"/>
    <w:rsid w:val="00675FF0"/>
    <w:rsid w:val="0068342B"/>
    <w:rsid w:val="006A41BB"/>
    <w:rsid w:val="006C0A64"/>
    <w:rsid w:val="006C3A4E"/>
    <w:rsid w:val="006D2210"/>
    <w:rsid w:val="006D395B"/>
    <w:rsid w:val="006E2A2A"/>
    <w:rsid w:val="006F3C55"/>
    <w:rsid w:val="006F721B"/>
    <w:rsid w:val="0071523D"/>
    <w:rsid w:val="00723FC2"/>
    <w:rsid w:val="00727B15"/>
    <w:rsid w:val="00727C2C"/>
    <w:rsid w:val="0073058E"/>
    <w:rsid w:val="00740615"/>
    <w:rsid w:val="0074794A"/>
    <w:rsid w:val="00754165"/>
    <w:rsid w:val="007603D1"/>
    <w:rsid w:val="00763FAE"/>
    <w:rsid w:val="0076510B"/>
    <w:rsid w:val="0076592D"/>
    <w:rsid w:val="00766760"/>
    <w:rsid w:val="00767F88"/>
    <w:rsid w:val="00772CA1"/>
    <w:rsid w:val="00773667"/>
    <w:rsid w:val="007736AB"/>
    <w:rsid w:val="0078476D"/>
    <w:rsid w:val="00786E82"/>
    <w:rsid w:val="007900E9"/>
    <w:rsid w:val="007908C2"/>
    <w:rsid w:val="0079470F"/>
    <w:rsid w:val="007C3554"/>
    <w:rsid w:val="007C6E1E"/>
    <w:rsid w:val="007D5EB4"/>
    <w:rsid w:val="007E4304"/>
    <w:rsid w:val="007F65AE"/>
    <w:rsid w:val="00812FAB"/>
    <w:rsid w:val="00826E93"/>
    <w:rsid w:val="008329C3"/>
    <w:rsid w:val="008402E5"/>
    <w:rsid w:val="0084087A"/>
    <w:rsid w:val="008420A0"/>
    <w:rsid w:val="008427AA"/>
    <w:rsid w:val="00843A19"/>
    <w:rsid w:val="00844764"/>
    <w:rsid w:val="0085499E"/>
    <w:rsid w:val="00861591"/>
    <w:rsid w:val="008620FC"/>
    <w:rsid w:val="00863199"/>
    <w:rsid w:val="00875D29"/>
    <w:rsid w:val="0089553B"/>
    <w:rsid w:val="008A08B8"/>
    <w:rsid w:val="008C5B6F"/>
    <w:rsid w:val="008C69A8"/>
    <w:rsid w:val="008D181F"/>
    <w:rsid w:val="008D4CEB"/>
    <w:rsid w:val="008E5A6A"/>
    <w:rsid w:val="008F08BB"/>
    <w:rsid w:val="008F2D9E"/>
    <w:rsid w:val="00906EA2"/>
    <w:rsid w:val="009110CB"/>
    <w:rsid w:val="00911443"/>
    <w:rsid w:val="009115DD"/>
    <w:rsid w:val="00913B63"/>
    <w:rsid w:val="009143FC"/>
    <w:rsid w:val="00920D9B"/>
    <w:rsid w:val="0094069F"/>
    <w:rsid w:val="00947CE8"/>
    <w:rsid w:val="009601C7"/>
    <w:rsid w:val="00965F5F"/>
    <w:rsid w:val="009708EF"/>
    <w:rsid w:val="0097232E"/>
    <w:rsid w:val="009731DE"/>
    <w:rsid w:val="00986895"/>
    <w:rsid w:val="00987F10"/>
    <w:rsid w:val="0099774B"/>
    <w:rsid w:val="009B05CB"/>
    <w:rsid w:val="009B0689"/>
    <w:rsid w:val="009B67CE"/>
    <w:rsid w:val="009E18D8"/>
    <w:rsid w:val="009E6B77"/>
    <w:rsid w:val="009E73A9"/>
    <w:rsid w:val="009F3796"/>
    <w:rsid w:val="009F7B7D"/>
    <w:rsid w:val="00A01062"/>
    <w:rsid w:val="00A01E3F"/>
    <w:rsid w:val="00A0422F"/>
    <w:rsid w:val="00A0424E"/>
    <w:rsid w:val="00A106E0"/>
    <w:rsid w:val="00A12C5B"/>
    <w:rsid w:val="00A2018C"/>
    <w:rsid w:val="00A2369F"/>
    <w:rsid w:val="00A30177"/>
    <w:rsid w:val="00A3510B"/>
    <w:rsid w:val="00A374D2"/>
    <w:rsid w:val="00A47626"/>
    <w:rsid w:val="00A54E8D"/>
    <w:rsid w:val="00A552D7"/>
    <w:rsid w:val="00A61BC1"/>
    <w:rsid w:val="00A67C98"/>
    <w:rsid w:val="00A806B2"/>
    <w:rsid w:val="00A85A85"/>
    <w:rsid w:val="00A93FC0"/>
    <w:rsid w:val="00AA483C"/>
    <w:rsid w:val="00AB5277"/>
    <w:rsid w:val="00AB52CC"/>
    <w:rsid w:val="00AD32F9"/>
    <w:rsid w:val="00AE13E8"/>
    <w:rsid w:val="00AF3CD0"/>
    <w:rsid w:val="00AF412A"/>
    <w:rsid w:val="00AF647A"/>
    <w:rsid w:val="00B11515"/>
    <w:rsid w:val="00B13C45"/>
    <w:rsid w:val="00B14B43"/>
    <w:rsid w:val="00B1617C"/>
    <w:rsid w:val="00B2420F"/>
    <w:rsid w:val="00B27963"/>
    <w:rsid w:val="00B42128"/>
    <w:rsid w:val="00B4796F"/>
    <w:rsid w:val="00B53267"/>
    <w:rsid w:val="00B538C2"/>
    <w:rsid w:val="00B721B2"/>
    <w:rsid w:val="00B74613"/>
    <w:rsid w:val="00B74CDE"/>
    <w:rsid w:val="00B90FFF"/>
    <w:rsid w:val="00BB0F2C"/>
    <w:rsid w:val="00BB3C70"/>
    <w:rsid w:val="00BB3F75"/>
    <w:rsid w:val="00BB5641"/>
    <w:rsid w:val="00BB59A7"/>
    <w:rsid w:val="00BC1C8B"/>
    <w:rsid w:val="00BC50F5"/>
    <w:rsid w:val="00BC5E28"/>
    <w:rsid w:val="00BD0E16"/>
    <w:rsid w:val="00BD2A05"/>
    <w:rsid w:val="00BD58EF"/>
    <w:rsid w:val="00BE70AE"/>
    <w:rsid w:val="00BF1551"/>
    <w:rsid w:val="00BF1597"/>
    <w:rsid w:val="00BF4B46"/>
    <w:rsid w:val="00C033CA"/>
    <w:rsid w:val="00C10B5A"/>
    <w:rsid w:val="00C10B83"/>
    <w:rsid w:val="00C173DC"/>
    <w:rsid w:val="00C201BB"/>
    <w:rsid w:val="00C2785C"/>
    <w:rsid w:val="00C35B5F"/>
    <w:rsid w:val="00C47DF4"/>
    <w:rsid w:val="00C53B54"/>
    <w:rsid w:val="00C60994"/>
    <w:rsid w:val="00C639E5"/>
    <w:rsid w:val="00C70EDD"/>
    <w:rsid w:val="00C72A72"/>
    <w:rsid w:val="00C72ED2"/>
    <w:rsid w:val="00C7674A"/>
    <w:rsid w:val="00C77CA1"/>
    <w:rsid w:val="00C81964"/>
    <w:rsid w:val="00C86FED"/>
    <w:rsid w:val="00C9208D"/>
    <w:rsid w:val="00C920E1"/>
    <w:rsid w:val="00C9210F"/>
    <w:rsid w:val="00C957AF"/>
    <w:rsid w:val="00CA0A90"/>
    <w:rsid w:val="00CA778E"/>
    <w:rsid w:val="00CB3D3F"/>
    <w:rsid w:val="00CB74A1"/>
    <w:rsid w:val="00CC0409"/>
    <w:rsid w:val="00CC500A"/>
    <w:rsid w:val="00CF2EA4"/>
    <w:rsid w:val="00CF686C"/>
    <w:rsid w:val="00D00614"/>
    <w:rsid w:val="00D07BC1"/>
    <w:rsid w:val="00D130C4"/>
    <w:rsid w:val="00D323A5"/>
    <w:rsid w:val="00D32BD0"/>
    <w:rsid w:val="00D45442"/>
    <w:rsid w:val="00D506BD"/>
    <w:rsid w:val="00D603C7"/>
    <w:rsid w:val="00D608EB"/>
    <w:rsid w:val="00D61360"/>
    <w:rsid w:val="00D66266"/>
    <w:rsid w:val="00D826E7"/>
    <w:rsid w:val="00D83E98"/>
    <w:rsid w:val="00D93CD8"/>
    <w:rsid w:val="00D952E2"/>
    <w:rsid w:val="00DA130D"/>
    <w:rsid w:val="00DB4993"/>
    <w:rsid w:val="00DB6923"/>
    <w:rsid w:val="00DD367D"/>
    <w:rsid w:val="00DD7A82"/>
    <w:rsid w:val="00DE2FDD"/>
    <w:rsid w:val="00DE5939"/>
    <w:rsid w:val="00DF3B5D"/>
    <w:rsid w:val="00E018BD"/>
    <w:rsid w:val="00E01F2E"/>
    <w:rsid w:val="00E048A5"/>
    <w:rsid w:val="00E148F8"/>
    <w:rsid w:val="00E15C51"/>
    <w:rsid w:val="00E3253E"/>
    <w:rsid w:val="00E34B0D"/>
    <w:rsid w:val="00E35FFB"/>
    <w:rsid w:val="00E44781"/>
    <w:rsid w:val="00E466D8"/>
    <w:rsid w:val="00E46B8C"/>
    <w:rsid w:val="00E51B8E"/>
    <w:rsid w:val="00E64770"/>
    <w:rsid w:val="00E70599"/>
    <w:rsid w:val="00E7361F"/>
    <w:rsid w:val="00E802B3"/>
    <w:rsid w:val="00E913F9"/>
    <w:rsid w:val="00E923EA"/>
    <w:rsid w:val="00E93C28"/>
    <w:rsid w:val="00EA0F87"/>
    <w:rsid w:val="00EB0884"/>
    <w:rsid w:val="00EB1792"/>
    <w:rsid w:val="00EB4887"/>
    <w:rsid w:val="00EB75EF"/>
    <w:rsid w:val="00ED3BB8"/>
    <w:rsid w:val="00ED5BB3"/>
    <w:rsid w:val="00EE018D"/>
    <w:rsid w:val="00EE3A59"/>
    <w:rsid w:val="00EF1172"/>
    <w:rsid w:val="00EF5535"/>
    <w:rsid w:val="00EF6395"/>
    <w:rsid w:val="00F02892"/>
    <w:rsid w:val="00F0527C"/>
    <w:rsid w:val="00F10166"/>
    <w:rsid w:val="00F13BE4"/>
    <w:rsid w:val="00F214E0"/>
    <w:rsid w:val="00F2326A"/>
    <w:rsid w:val="00F2388C"/>
    <w:rsid w:val="00F363C7"/>
    <w:rsid w:val="00F413D0"/>
    <w:rsid w:val="00F45327"/>
    <w:rsid w:val="00F4688F"/>
    <w:rsid w:val="00F47B91"/>
    <w:rsid w:val="00F607DC"/>
    <w:rsid w:val="00F6310A"/>
    <w:rsid w:val="00F633A7"/>
    <w:rsid w:val="00F63F62"/>
    <w:rsid w:val="00F664DD"/>
    <w:rsid w:val="00F72947"/>
    <w:rsid w:val="00F76AD3"/>
    <w:rsid w:val="00F83744"/>
    <w:rsid w:val="00F85E34"/>
    <w:rsid w:val="00F92290"/>
    <w:rsid w:val="00FA01AA"/>
    <w:rsid w:val="00FA495B"/>
    <w:rsid w:val="00FA707D"/>
    <w:rsid w:val="00FB0D0B"/>
    <w:rsid w:val="00FB1F68"/>
    <w:rsid w:val="00FB42FB"/>
    <w:rsid w:val="00FD3BE8"/>
    <w:rsid w:val="00FE1265"/>
    <w:rsid w:val="00FE60BA"/>
    <w:rsid w:val="00FE7009"/>
    <w:rsid w:val="00FF1F82"/>
    <w:rsid w:val="00FF218A"/>
    <w:rsid w:val="00FF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51920-3DD5-4357-B2A3-68471DFD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C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60994"/>
    <w:pPr>
      <w:keepNext/>
      <w:keepLines/>
      <w:spacing w:before="200" w:after="0" w:line="240" w:lineRule="auto"/>
      <w:outlineLvl w:val="2"/>
    </w:pPr>
    <w:rPr>
      <w:rFonts w:ascii="Cambria" w:eastAsia="Times New Roman" w:hAnsi="Cambria"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D6F"/>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C60994"/>
    <w:rPr>
      <w:rFonts w:ascii="Cambria" w:eastAsia="Times New Roman" w:hAnsi="Cambria" w:cs="Times New Roman"/>
      <w:b/>
      <w:bCs/>
      <w:color w:val="4F81BD"/>
      <w:sz w:val="20"/>
      <w:szCs w:val="20"/>
    </w:rPr>
  </w:style>
  <w:style w:type="character" w:styleId="Hyperlink">
    <w:name w:val="Hyperlink"/>
    <w:basedOn w:val="DefaultParagraphFont"/>
    <w:rsid w:val="00C60994"/>
    <w:rPr>
      <w:color w:val="0000FF"/>
      <w:u w:val="single"/>
    </w:rPr>
  </w:style>
  <w:style w:type="paragraph" w:styleId="ListParagraph">
    <w:name w:val="List Paragraph"/>
    <w:basedOn w:val="Normal"/>
    <w:uiPriority w:val="34"/>
    <w:qFormat/>
    <w:rsid w:val="00C60994"/>
    <w:pPr>
      <w:spacing w:after="0" w:line="240" w:lineRule="auto"/>
      <w:ind w:left="720"/>
      <w:contextualSpacing/>
    </w:pPr>
    <w:rPr>
      <w:rFonts w:ascii="Times New Roman" w:eastAsia="Times New Roman" w:hAnsi="Times New Roman" w:cs="Times New Roman"/>
      <w:sz w:val="20"/>
      <w:szCs w:val="20"/>
      <w:lang w:val="en-AU" w:eastAsia="en-AU"/>
    </w:rPr>
  </w:style>
  <w:style w:type="paragraph" w:styleId="NormalWeb">
    <w:name w:val="Normal (Web)"/>
    <w:basedOn w:val="Normal"/>
    <w:uiPriority w:val="99"/>
    <w:unhideWhenUsed/>
    <w:rsid w:val="00C609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994"/>
    <w:rPr>
      <w:b/>
      <w:bCs/>
    </w:rPr>
  </w:style>
  <w:style w:type="paragraph" w:styleId="Header">
    <w:name w:val="header"/>
    <w:basedOn w:val="Normal"/>
    <w:link w:val="HeaderChar"/>
    <w:uiPriority w:val="99"/>
    <w:unhideWhenUsed/>
    <w:rsid w:val="00C60994"/>
    <w:pPr>
      <w:tabs>
        <w:tab w:val="center" w:pos="4513"/>
        <w:tab w:val="right" w:pos="9026"/>
      </w:tabs>
      <w:spacing w:after="0" w:line="240" w:lineRule="auto"/>
    </w:pPr>
    <w:rPr>
      <w:rFonts w:ascii="Times New Roman" w:eastAsia="Times New Roman" w:hAnsi="Times New Roman" w:cs="Times New Roman"/>
      <w:sz w:val="20"/>
      <w:szCs w:val="20"/>
      <w:lang w:val="en-AU" w:eastAsia="en-AU"/>
    </w:rPr>
  </w:style>
  <w:style w:type="character" w:customStyle="1" w:styleId="HeaderChar">
    <w:name w:val="Header Char"/>
    <w:basedOn w:val="DefaultParagraphFont"/>
    <w:link w:val="Header"/>
    <w:uiPriority w:val="99"/>
    <w:rsid w:val="00C60994"/>
    <w:rPr>
      <w:rFonts w:ascii="Times New Roman" w:eastAsia="Times New Roman" w:hAnsi="Times New Roman" w:cs="Times New Roman"/>
      <w:sz w:val="20"/>
      <w:szCs w:val="20"/>
      <w:lang w:val="en-AU" w:eastAsia="en-AU"/>
    </w:rPr>
  </w:style>
  <w:style w:type="paragraph" w:styleId="Footer">
    <w:name w:val="footer"/>
    <w:basedOn w:val="Normal"/>
    <w:link w:val="FooterChar"/>
    <w:uiPriority w:val="99"/>
    <w:unhideWhenUsed/>
    <w:rsid w:val="00C60994"/>
    <w:pPr>
      <w:tabs>
        <w:tab w:val="center" w:pos="4513"/>
        <w:tab w:val="right" w:pos="9026"/>
      </w:tabs>
      <w:spacing w:after="0" w:line="240" w:lineRule="auto"/>
    </w:pPr>
    <w:rPr>
      <w:rFonts w:ascii="Times New Roman" w:eastAsia="Times New Roman" w:hAnsi="Times New Roman" w:cs="Times New Roman"/>
      <w:sz w:val="20"/>
      <w:szCs w:val="20"/>
      <w:lang w:val="en-AU" w:eastAsia="en-AU"/>
    </w:rPr>
  </w:style>
  <w:style w:type="character" w:customStyle="1" w:styleId="FooterChar">
    <w:name w:val="Footer Char"/>
    <w:basedOn w:val="DefaultParagraphFont"/>
    <w:link w:val="Footer"/>
    <w:uiPriority w:val="99"/>
    <w:rsid w:val="00C60994"/>
    <w:rPr>
      <w:rFonts w:ascii="Times New Roman" w:eastAsia="Times New Roman" w:hAnsi="Times New Roman" w:cs="Times New Roman"/>
      <w:sz w:val="20"/>
      <w:szCs w:val="20"/>
      <w:lang w:val="en-AU" w:eastAsia="en-AU"/>
    </w:rPr>
  </w:style>
  <w:style w:type="paragraph" w:styleId="BodyText">
    <w:name w:val="Body Text"/>
    <w:basedOn w:val="Normal"/>
    <w:link w:val="BodyTextChar"/>
    <w:rsid w:val="00C60994"/>
    <w:pPr>
      <w:spacing w:after="0" w:line="240" w:lineRule="auto"/>
    </w:pPr>
    <w:rPr>
      <w:rFonts w:ascii="Helvetica" w:eastAsia="Times New Roman" w:hAnsi="Helvetica" w:cs="Times New Roman"/>
      <w:b/>
      <w:sz w:val="20"/>
      <w:szCs w:val="20"/>
    </w:rPr>
  </w:style>
  <w:style w:type="character" w:customStyle="1" w:styleId="BodyTextChar">
    <w:name w:val="Body Text Char"/>
    <w:basedOn w:val="DefaultParagraphFont"/>
    <w:link w:val="BodyText"/>
    <w:rsid w:val="00C60994"/>
    <w:rPr>
      <w:rFonts w:ascii="Helvetica" w:eastAsia="Times New Roman" w:hAnsi="Helvetica" w:cs="Times New Roman"/>
      <w:b/>
      <w:sz w:val="20"/>
      <w:szCs w:val="20"/>
    </w:rPr>
  </w:style>
  <w:style w:type="paragraph" w:styleId="BodyTextIndent2">
    <w:name w:val="Body Text Indent 2"/>
    <w:basedOn w:val="Normal"/>
    <w:link w:val="BodyTextIndent2Char"/>
    <w:uiPriority w:val="99"/>
    <w:unhideWhenUsed/>
    <w:rsid w:val="00C60994"/>
    <w:pPr>
      <w:spacing w:after="120" w:line="480" w:lineRule="auto"/>
      <w:ind w:left="283"/>
    </w:pPr>
    <w:rPr>
      <w:rFonts w:ascii="Times New Roman" w:eastAsia="Times New Roman" w:hAnsi="Times New Roman" w:cs="Times New Roman"/>
      <w:sz w:val="20"/>
      <w:szCs w:val="20"/>
      <w:lang w:val="en-AU" w:eastAsia="en-AU"/>
    </w:rPr>
  </w:style>
  <w:style w:type="character" w:customStyle="1" w:styleId="BodyTextIndent2Char">
    <w:name w:val="Body Text Indent 2 Char"/>
    <w:basedOn w:val="DefaultParagraphFont"/>
    <w:link w:val="BodyTextIndent2"/>
    <w:uiPriority w:val="99"/>
    <w:rsid w:val="00C60994"/>
    <w:rPr>
      <w:rFonts w:ascii="Times New Roman" w:eastAsia="Times New Roman" w:hAnsi="Times New Roman" w:cs="Times New Roman"/>
      <w:sz w:val="20"/>
      <w:szCs w:val="20"/>
      <w:lang w:val="en-AU" w:eastAsia="en-AU"/>
    </w:rPr>
  </w:style>
  <w:style w:type="paragraph" w:styleId="BalloonText">
    <w:name w:val="Balloon Text"/>
    <w:basedOn w:val="Normal"/>
    <w:link w:val="BalloonTextChar"/>
    <w:uiPriority w:val="99"/>
    <w:semiHidden/>
    <w:unhideWhenUsed/>
    <w:rsid w:val="00C60994"/>
    <w:pPr>
      <w:spacing w:after="0" w:line="240" w:lineRule="auto"/>
    </w:pPr>
    <w:rPr>
      <w:rFonts w:ascii="Tahoma" w:eastAsia="Times New Roman" w:hAnsi="Tahoma" w:cs="Tahoma"/>
      <w:sz w:val="16"/>
      <w:szCs w:val="16"/>
      <w:lang w:val="en-AU" w:eastAsia="en-AU"/>
    </w:rPr>
  </w:style>
  <w:style w:type="character" w:customStyle="1" w:styleId="BalloonTextChar">
    <w:name w:val="Balloon Text Char"/>
    <w:basedOn w:val="DefaultParagraphFont"/>
    <w:link w:val="BalloonText"/>
    <w:uiPriority w:val="99"/>
    <w:semiHidden/>
    <w:rsid w:val="00C60994"/>
    <w:rPr>
      <w:rFonts w:ascii="Tahoma" w:eastAsia="Times New Roman" w:hAnsi="Tahoma" w:cs="Tahoma"/>
      <w:sz w:val="16"/>
      <w:szCs w:val="16"/>
      <w:lang w:val="en-AU" w:eastAsia="en-AU"/>
    </w:rPr>
  </w:style>
  <w:style w:type="character" w:customStyle="1" w:styleId="textboxinput">
    <w:name w:val="textboxinput"/>
    <w:basedOn w:val="DefaultParagraphFont"/>
    <w:rsid w:val="00C60994"/>
  </w:style>
  <w:style w:type="paragraph" w:customStyle="1" w:styleId="MRheading1">
    <w:name w:val="M&amp;R heading 1"/>
    <w:basedOn w:val="Normal"/>
    <w:rsid w:val="006F721B"/>
    <w:pPr>
      <w:keepNext/>
      <w:keepLines/>
      <w:numPr>
        <w:numId w:val="1"/>
      </w:numPr>
      <w:spacing w:before="240" w:after="0" w:line="360" w:lineRule="auto"/>
      <w:jc w:val="both"/>
    </w:pPr>
    <w:rPr>
      <w:rFonts w:ascii="Times New Roman" w:eastAsia="Times New Roman" w:hAnsi="Times New Roman" w:cs="Times New Roman"/>
      <w:b/>
      <w:sz w:val="24"/>
      <w:szCs w:val="20"/>
      <w:u w:val="single"/>
    </w:rPr>
  </w:style>
  <w:style w:type="character" w:customStyle="1" w:styleId="MRheading2CharChar1">
    <w:name w:val="M&amp;R heading 2 Char Char1"/>
    <w:basedOn w:val="DefaultParagraphFont"/>
    <w:link w:val="MRheading2Char"/>
    <w:locked/>
    <w:rsid w:val="006F721B"/>
    <w:rPr>
      <w:rFonts w:ascii="Times New Roman" w:eastAsia="Times New Roman" w:hAnsi="Times New Roman" w:cs="Times New Roman"/>
      <w:sz w:val="24"/>
      <w:szCs w:val="20"/>
    </w:rPr>
  </w:style>
  <w:style w:type="paragraph" w:customStyle="1" w:styleId="MRheading2Char">
    <w:name w:val="M&amp;R heading 2 Char"/>
    <w:basedOn w:val="Normal"/>
    <w:link w:val="MRheading2CharChar1"/>
    <w:rsid w:val="006F721B"/>
    <w:pPr>
      <w:numPr>
        <w:ilvl w:val="1"/>
        <w:numId w:val="1"/>
      </w:numPr>
      <w:spacing w:before="240" w:after="0" w:line="360" w:lineRule="auto"/>
      <w:jc w:val="both"/>
      <w:outlineLvl w:val="1"/>
    </w:pPr>
    <w:rPr>
      <w:rFonts w:ascii="Times New Roman" w:eastAsia="Times New Roman" w:hAnsi="Times New Roman" w:cs="Times New Roman"/>
      <w:sz w:val="24"/>
      <w:szCs w:val="20"/>
    </w:rPr>
  </w:style>
  <w:style w:type="paragraph" w:customStyle="1" w:styleId="MRheading3Char">
    <w:name w:val="M&amp;R heading 3 Char"/>
    <w:basedOn w:val="Normal"/>
    <w:rsid w:val="006F721B"/>
    <w:pPr>
      <w:numPr>
        <w:ilvl w:val="2"/>
        <w:numId w:val="1"/>
      </w:numPr>
      <w:spacing w:before="240" w:after="0" w:line="360" w:lineRule="auto"/>
      <w:jc w:val="both"/>
      <w:outlineLvl w:val="2"/>
    </w:pPr>
    <w:rPr>
      <w:rFonts w:ascii="Times New Roman" w:eastAsia="Times New Roman" w:hAnsi="Times New Roman" w:cs="Times New Roman"/>
      <w:sz w:val="24"/>
      <w:szCs w:val="20"/>
    </w:rPr>
  </w:style>
  <w:style w:type="paragraph" w:customStyle="1" w:styleId="MRheading4">
    <w:name w:val="M&amp;R heading 4"/>
    <w:basedOn w:val="Normal"/>
    <w:rsid w:val="006F721B"/>
    <w:pPr>
      <w:numPr>
        <w:ilvl w:val="3"/>
        <w:numId w:val="1"/>
      </w:numPr>
      <w:spacing w:before="240" w:after="0" w:line="360" w:lineRule="auto"/>
      <w:jc w:val="both"/>
      <w:outlineLvl w:val="3"/>
    </w:pPr>
    <w:rPr>
      <w:rFonts w:ascii="Times New Roman" w:eastAsia="Times New Roman" w:hAnsi="Times New Roman" w:cs="Times New Roman"/>
      <w:sz w:val="24"/>
      <w:szCs w:val="20"/>
    </w:rPr>
  </w:style>
  <w:style w:type="paragraph" w:customStyle="1" w:styleId="MRheading5">
    <w:name w:val="M&amp;R heading 5"/>
    <w:basedOn w:val="Normal"/>
    <w:rsid w:val="006F721B"/>
    <w:pPr>
      <w:numPr>
        <w:ilvl w:val="4"/>
        <w:numId w:val="1"/>
      </w:numPr>
      <w:spacing w:before="240" w:after="0" w:line="360" w:lineRule="auto"/>
      <w:jc w:val="both"/>
      <w:outlineLvl w:val="4"/>
    </w:pPr>
    <w:rPr>
      <w:rFonts w:ascii="Times New Roman" w:eastAsia="Times New Roman" w:hAnsi="Times New Roman" w:cs="Times New Roman"/>
      <w:sz w:val="24"/>
      <w:szCs w:val="20"/>
    </w:rPr>
  </w:style>
  <w:style w:type="paragraph" w:customStyle="1" w:styleId="MRheading6">
    <w:name w:val="M&amp;R heading 6"/>
    <w:basedOn w:val="Normal"/>
    <w:rsid w:val="006F721B"/>
    <w:pPr>
      <w:numPr>
        <w:ilvl w:val="5"/>
        <w:numId w:val="1"/>
      </w:numPr>
      <w:spacing w:before="240" w:after="0" w:line="360" w:lineRule="auto"/>
      <w:jc w:val="both"/>
      <w:outlineLvl w:val="5"/>
    </w:pPr>
    <w:rPr>
      <w:rFonts w:ascii="Times New Roman" w:eastAsia="Times New Roman" w:hAnsi="Times New Roman" w:cs="Times New Roman"/>
      <w:sz w:val="24"/>
      <w:szCs w:val="20"/>
    </w:rPr>
  </w:style>
  <w:style w:type="paragraph" w:customStyle="1" w:styleId="MRheading7">
    <w:name w:val="M&amp;R heading 7"/>
    <w:basedOn w:val="Normal"/>
    <w:rsid w:val="006F721B"/>
    <w:pPr>
      <w:numPr>
        <w:ilvl w:val="6"/>
        <w:numId w:val="1"/>
      </w:numPr>
      <w:spacing w:before="240" w:after="0" w:line="360" w:lineRule="auto"/>
      <w:jc w:val="both"/>
      <w:outlineLvl w:val="6"/>
    </w:pPr>
    <w:rPr>
      <w:rFonts w:ascii="Times New Roman" w:eastAsia="Times New Roman" w:hAnsi="Times New Roman" w:cs="Times New Roman"/>
      <w:sz w:val="24"/>
      <w:szCs w:val="20"/>
    </w:rPr>
  </w:style>
  <w:style w:type="paragraph" w:customStyle="1" w:styleId="MRheading8">
    <w:name w:val="M&amp;R heading 8"/>
    <w:basedOn w:val="Normal"/>
    <w:rsid w:val="006F721B"/>
    <w:pPr>
      <w:numPr>
        <w:ilvl w:val="7"/>
        <w:numId w:val="1"/>
      </w:numPr>
      <w:spacing w:before="240" w:after="0" w:line="360" w:lineRule="auto"/>
      <w:jc w:val="both"/>
      <w:outlineLvl w:val="7"/>
    </w:pPr>
    <w:rPr>
      <w:rFonts w:ascii="Times New Roman" w:eastAsia="Times New Roman" w:hAnsi="Times New Roman" w:cs="Times New Roman"/>
      <w:sz w:val="24"/>
      <w:szCs w:val="20"/>
    </w:rPr>
  </w:style>
  <w:style w:type="paragraph" w:customStyle="1" w:styleId="MRheading9">
    <w:name w:val="M&amp;R heading 9"/>
    <w:basedOn w:val="Normal"/>
    <w:rsid w:val="006F721B"/>
    <w:pPr>
      <w:numPr>
        <w:ilvl w:val="8"/>
        <w:numId w:val="1"/>
      </w:numPr>
      <w:spacing w:before="240" w:after="0" w:line="360" w:lineRule="auto"/>
      <w:jc w:val="both"/>
      <w:outlineLvl w:val="8"/>
    </w:pPr>
    <w:rPr>
      <w:rFonts w:ascii="Times New Roman" w:eastAsia="Times New Roman" w:hAnsi="Times New Roman" w:cs="Times New Roman"/>
      <w:sz w:val="24"/>
      <w:szCs w:val="20"/>
    </w:rPr>
  </w:style>
  <w:style w:type="paragraph" w:styleId="PlainText">
    <w:name w:val="Plain Text"/>
    <w:basedOn w:val="Normal"/>
    <w:link w:val="PlainTextChar"/>
    <w:rsid w:val="009E73A9"/>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9E73A9"/>
    <w:rPr>
      <w:rFonts w:ascii="Courier New" w:eastAsia="Times New Roman" w:hAnsi="Courier New" w:cs="Times New Roman"/>
      <w:sz w:val="20"/>
      <w:szCs w:val="20"/>
      <w:lang w:val="en-US"/>
    </w:rPr>
  </w:style>
  <w:style w:type="character" w:customStyle="1" w:styleId="Heading1Char">
    <w:name w:val="Heading 1 Char"/>
    <w:basedOn w:val="DefaultParagraphFont"/>
    <w:link w:val="Heading1"/>
    <w:uiPriority w:val="9"/>
    <w:rsid w:val="00570CDB"/>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rsid w:val="00570C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70CD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570CDB"/>
    <w:rPr>
      <w:vertAlign w:val="superscript"/>
    </w:rPr>
  </w:style>
  <w:style w:type="character" w:customStyle="1" w:styleId="sysrss-link">
    <w:name w:val="sys_rss-link"/>
    <w:basedOn w:val="DefaultParagraphFont"/>
    <w:rsid w:val="00EE018D"/>
  </w:style>
  <w:style w:type="character" w:customStyle="1" w:styleId="sysatom-link">
    <w:name w:val="sys_atom-link"/>
    <w:basedOn w:val="DefaultParagraphFont"/>
    <w:rsid w:val="00EE018D"/>
  </w:style>
  <w:style w:type="paragraph" w:styleId="Caption">
    <w:name w:val="caption"/>
    <w:basedOn w:val="Normal"/>
    <w:next w:val="Normal"/>
    <w:uiPriority w:val="35"/>
    <w:semiHidden/>
    <w:unhideWhenUsed/>
    <w:qFormat/>
    <w:rsid w:val="007E4304"/>
    <w:pPr>
      <w:spacing w:line="240" w:lineRule="auto"/>
    </w:pPr>
    <w:rPr>
      <w:b/>
      <w:bCs/>
      <w:color w:val="4F81BD" w:themeColor="accent1"/>
      <w:sz w:val="18"/>
      <w:szCs w:val="18"/>
    </w:rPr>
  </w:style>
  <w:style w:type="table" w:customStyle="1" w:styleId="TableGrid1">
    <w:name w:val="Table Grid1"/>
    <w:basedOn w:val="TableNormal"/>
    <w:next w:val="TableGrid"/>
    <w:uiPriority w:val="59"/>
    <w:rsid w:val="00221297"/>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F2E"/>
    <w:rPr>
      <w:sz w:val="16"/>
      <w:szCs w:val="16"/>
    </w:rPr>
  </w:style>
  <w:style w:type="paragraph" w:styleId="CommentText">
    <w:name w:val="annotation text"/>
    <w:basedOn w:val="Normal"/>
    <w:link w:val="CommentTextChar"/>
    <w:uiPriority w:val="99"/>
    <w:semiHidden/>
    <w:unhideWhenUsed/>
    <w:rsid w:val="00E01F2E"/>
    <w:pPr>
      <w:spacing w:line="240" w:lineRule="auto"/>
    </w:pPr>
    <w:rPr>
      <w:sz w:val="20"/>
      <w:szCs w:val="20"/>
    </w:rPr>
  </w:style>
  <w:style w:type="character" w:customStyle="1" w:styleId="CommentTextChar">
    <w:name w:val="Comment Text Char"/>
    <w:basedOn w:val="DefaultParagraphFont"/>
    <w:link w:val="CommentText"/>
    <w:uiPriority w:val="99"/>
    <w:semiHidden/>
    <w:rsid w:val="00E01F2E"/>
    <w:rPr>
      <w:sz w:val="20"/>
      <w:szCs w:val="20"/>
    </w:rPr>
  </w:style>
  <w:style w:type="paragraph" w:styleId="CommentSubject">
    <w:name w:val="annotation subject"/>
    <w:basedOn w:val="CommentText"/>
    <w:next w:val="CommentText"/>
    <w:link w:val="CommentSubjectChar"/>
    <w:uiPriority w:val="99"/>
    <w:semiHidden/>
    <w:unhideWhenUsed/>
    <w:rsid w:val="00E01F2E"/>
    <w:rPr>
      <w:b/>
      <w:bCs/>
    </w:rPr>
  </w:style>
  <w:style w:type="character" w:customStyle="1" w:styleId="CommentSubjectChar">
    <w:name w:val="Comment Subject Char"/>
    <w:basedOn w:val="CommentTextChar"/>
    <w:link w:val="CommentSubject"/>
    <w:uiPriority w:val="99"/>
    <w:semiHidden/>
    <w:rsid w:val="00E01F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666">
      <w:bodyDiv w:val="1"/>
      <w:marLeft w:val="0"/>
      <w:marRight w:val="0"/>
      <w:marTop w:val="0"/>
      <w:marBottom w:val="0"/>
      <w:divBdr>
        <w:top w:val="none" w:sz="0" w:space="0" w:color="auto"/>
        <w:left w:val="none" w:sz="0" w:space="0" w:color="auto"/>
        <w:bottom w:val="none" w:sz="0" w:space="0" w:color="auto"/>
        <w:right w:val="none" w:sz="0" w:space="0" w:color="auto"/>
      </w:divBdr>
      <w:divsChild>
        <w:div w:id="1965699125">
          <w:marLeft w:val="547"/>
          <w:marRight w:val="0"/>
          <w:marTop w:val="0"/>
          <w:marBottom w:val="0"/>
          <w:divBdr>
            <w:top w:val="none" w:sz="0" w:space="0" w:color="auto"/>
            <w:left w:val="none" w:sz="0" w:space="0" w:color="auto"/>
            <w:bottom w:val="none" w:sz="0" w:space="0" w:color="auto"/>
            <w:right w:val="none" w:sz="0" w:space="0" w:color="auto"/>
          </w:divBdr>
        </w:div>
        <w:div w:id="605116210">
          <w:marLeft w:val="547"/>
          <w:marRight w:val="0"/>
          <w:marTop w:val="0"/>
          <w:marBottom w:val="0"/>
          <w:divBdr>
            <w:top w:val="none" w:sz="0" w:space="0" w:color="auto"/>
            <w:left w:val="none" w:sz="0" w:space="0" w:color="auto"/>
            <w:bottom w:val="none" w:sz="0" w:space="0" w:color="auto"/>
            <w:right w:val="none" w:sz="0" w:space="0" w:color="auto"/>
          </w:divBdr>
        </w:div>
        <w:div w:id="867568123">
          <w:marLeft w:val="547"/>
          <w:marRight w:val="0"/>
          <w:marTop w:val="0"/>
          <w:marBottom w:val="0"/>
          <w:divBdr>
            <w:top w:val="none" w:sz="0" w:space="0" w:color="auto"/>
            <w:left w:val="none" w:sz="0" w:space="0" w:color="auto"/>
            <w:bottom w:val="none" w:sz="0" w:space="0" w:color="auto"/>
            <w:right w:val="none" w:sz="0" w:space="0" w:color="auto"/>
          </w:divBdr>
        </w:div>
        <w:div w:id="1869484516">
          <w:marLeft w:val="1166"/>
          <w:marRight w:val="0"/>
          <w:marTop w:val="0"/>
          <w:marBottom w:val="0"/>
          <w:divBdr>
            <w:top w:val="none" w:sz="0" w:space="0" w:color="auto"/>
            <w:left w:val="none" w:sz="0" w:space="0" w:color="auto"/>
            <w:bottom w:val="none" w:sz="0" w:space="0" w:color="auto"/>
            <w:right w:val="none" w:sz="0" w:space="0" w:color="auto"/>
          </w:divBdr>
        </w:div>
        <w:div w:id="1185443319">
          <w:marLeft w:val="1166"/>
          <w:marRight w:val="0"/>
          <w:marTop w:val="0"/>
          <w:marBottom w:val="0"/>
          <w:divBdr>
            <w:top w:val="none" w:sz="0" w:space="0" w:color="auto"/>
            <w:left w:val="none" w:sz="0" w:space="0" w:color="auto"/>
            <w:bottom w:val="none" w:sz="0" w:space="0" w:color="auto"/>
            <w:right w:val="none" w:sz="0" w:space="0" w:color="auto"/>
          </w:divBdr>
        </w:div>
        <w:div w:id="324018078">
          <w:marLeft w:val="1166"/>
          <w:marRight w:val="0"/>
          <w:marTop w:val="0"/>
          <w:marBottom w:val="0"/>
          <w:divBdr>
            <w:top w:val="none" w:sz="0" w:space="0" w:color="auto"/>
            <w:left w:val="none" w:sz="0" w:space="0" w:color="auto"/>
            <w:bottom w:val="none" w:sz="0" w:space="0" w:color="auto"/>
            <w:right w:val="none" w:sz="0" w:space="0" w:color="auto"/>
          </w:divBdr>
        </w:div>
        <w:div w:id="2024242191">
          <w:marLeft w:val="1166"/>
          <w:marRight w:val="0"/>
          <w:marTop w:val="0"/>
          <w:marBottom w:val="0"/>
          <w:divBdr>
            <w:top w:val="none" w:sz="0" w:space="0" w:color="auto"/>
            <w:left w:val="none" w:sz="0" w:space="0" w:color="auto"/>
            <w:bottom w:val="none" w:sz="0" w:space="0" w:color="auto"/>
            <w:right w:val="none" w:sz="0" w:space="0" w:color="auto"/>
          </w:divBdr>
        </w:div>
        <w:div w:id="666787257">
          <w:marLeft w:val="1166"/>
          <w:marRight w:val="0"/>
          <w:marTop w:val="0"/>
          <w:marBottom w:val="0"/>
          <w:divBdr>
            <w:top w:val="none" w:sz="0" w:space="0" w:color="auto"/>
            <w:left w:val="none" w:sz="0" w:space="0" w:color="auto"/>
            <w:bottom w:val="none" w:sz="0" w:space="0" w:color="auto"/>
            <w:right w:val="none" w:sz="0" w:space="0" w:color="auto"/>
          </w:divBdr>
        </w:div>
        <w:div w:id="1679964564">
          <w:marLeft w:val="1166"/>
          <w:marRight w:val="0"/>
          <w:marTop w:val="0"/>
          <w:marBottom w:val="0"/>
          <w:divBdr>
            <w:top w:val="none" w:sz="0" w:space="0" w:color="auto"/>
            <w:left w:val="none" w:sz="0" w:space="0" w:color="auto"/>
            <w:bottom w:val="none" w:sz="0" w:space="0" w:color="auto"/>
            <w:right w:val="none" w:sz="0" w:space="0" w:color="auto"/>
          </w:divBdr>
        </w:div>
        <w:div w:id="831330714">
          <w:marLeft w:val="1166"/>
          <w:marRight w:val="0"/>
          <w:marTop w:val="0"/>
          <w:marBottom w:val="0"/>
          <w:divBdr>
            <w:top w:val="none" w:sz="0" w:space="0" w:color="auto"/>
            <w:left w:val="none" w:sz="0" w:space="0" w:color="auto"/>
            <w:bottom w:val="none" w:sz="0" w:space="0" w:color="auto"/>
            <w:right w:val="none" w:sz="0" w:space="0" w:color="auto"/>
          </w:divBdr>
        </w:div>
        <w:div w:id="22365566">
          <w:marLeft w:val="1166"/>
          <w:marRight w:val="0"/>
          <w:marTop w:val="0"/>
          <w:marBottom w:val="0"/>
          <w:divBdr>
            <w:top w:val="none" w:sz="0" w:space="0" w:color="auto"/>
            <w:left w:val="none" w:sz="0" w:space="0" w:color="auto"/>
            <w:bottom w:val="none" w:sz="0" w:space="0" w:color="auto"/>
            <w:right w:val="none" w:sz="0" w:space="0" w:color="auto"/>
          </w:divBdr>
        </w:div>
      </w:divsChild>
    </w:div>
    <w:div w:id="375548470">
      <w:bodyDiv w:val="1"/>
      <w:marLeft w:val="0"/>
      <w:marRight w:val="0"/>
      <w:marTop w:val="0"/>
      <w:marBottom w:val="0"/>
      <w:divBdr>
        <w:top w:val="none" w:sz="0" w:space="0" w:color="auto"/>
        <w:left w:val="none" w:sz="0" w:space="0" w:color="auto"/>
        <w:bottom w:val="none" w:sz="0" w:space="0" w:color="auto"/>
        <w:right w:val="none" w:sz="0" w:space="0" w:color="auto"/>
      </w:divBdr>
    </w:div>
    <w:div w:id="840896345">
      <w:bodyDiv w:val="1"/>
      <w:marLeft w:val="0"/>
      <w:marRight w:val="0"/>
      <w:marTop w:val="0"/>
      <w:marBottom w:val="0"/>
      <w:divBdr>
        <w:top w:val="none" w:sz="0" w:space="0" w:color="auto"/>
        <w:left w:val="none" w:sz="0" w:space="0" w:color="auto"/>
        <w:bottom w:val="none" w:sz="0" w:space="0" w:color="auto"/>
        <w:right w:val="none" w:sz="0" w:space="0" w:color="auto"/>
      </w:divBdr>
      <w:divsChild>
        <w:div w:id="1821771184">
          <w:marLeft w:val="0"/>
          <w:marRight w:val="0"/>
          <w:marTop w:val="0"/>
          <w:marBottom w:val="0"/>
          <w:divBdr>
            <w:top w:val="none" w:sz="0" w:space="0" w:color="auto"/>
            <w:left w:val="none" w:sz="0" w:space="0" w:color="auto"/>
            <w:bottom w:val="none" w:sz="0" w:space="0" w:color="auto"/>
            <w:right w:val="none" w:sz="0" w:space="0" w:color="auto"/>
          </w:divBdr>
          <w:divsChild>
            <w:div w:id="1270550528">
              <w:marLeft w:val="0"/>
              <w:marRight w:val="0"/>
              <w:marTop w:val="0"/>
              <w:marBottom w:val="0"/>
              <w:divBdr>
                <w:top w:val="none" w:sz="0" w:space="0" w:color="auto"/>
                <w:left w:val="none" w:sz="0" w:space="0" w:color="auto"/>
                <w:bottom w:val="none" w:sz="0" w:space="0" w:color="auto"/>
                <w:right w:val="none" w:sz="0" w:space="0" w:color="auto"/>
              </w:divBdr>
              <w:divsChild>
                <w:div w:id="1386567922">
                  <w:marLeft w:val="0"/>
                  <w:marRight w:val="0"/>
                  <w:marTop w:val="0"/>
                  <w:marBottom w:val="0"/>
                  <w:divBdr>
                    <w:top w:val="none" w:sz="0" w:space="0" w:color="auto"/>
                    <w:left w:val="none" w:sz="0" w:space="0" w:color="auto"/>
                    <w:bottom w:val="none" w:sz="0" w:space="0" w:color="auto"/>
                    <w:right w:val="none" w:sz="0" w:space="0" w:color="auto"/>
                  </w:divBdr>
                  <w:divsChild>
                    <w:div w:id="1683780288">
                      <w:marLeft w:val="0"/>
                      <w:marRight w:val="0"/>
                      <w:marTop w:val="0"/>
                      <w:marBottom w:val="0"/>
                      <w:divBdr>
                        <w:top w:val="none" w:sz="0" w:space="0" w:color="auto"/>
                        <w:left w:val="none" w:sz="0" w:space="0" w:color="auto"/>
                        <w:bottom w:val="none" w:sz="0" w:space="0" w:color="auto"/>
                        <w:right w:val="none" w:sz="0" w:space="0" w:color="auto"/>
                      </w:divBdr>
                      <w:divsChild>
                        <w:div w:id="570314169">
                          <w:marLeft w:val="0"/>
                          <w:marRight w:val="0"/>
                          <w:marTop w:val="0"/>
                          <w:marBottom w:val="0"/>
                          <w:divBdr>
                            <w:top w:val="none" w:sz="0" w:space="0" w:color="auto"/>
                            <w:left w:val="none" w:sz="0" w:space="0" w:color="auto"/>
                            <w:bottom w:val="none" w:sz="0" w:space="0" w:color="auto"/>
                            <w:right w:val="none" w:sz="0" w:space="0" w:color="auto"/>
                          </w:divBdr>
                          <w:divsChild>
                            <w:div w:id="2020348366">
                              <w:marLeft w:val="0"/>
                              <w:marRight w:val="0"/>
                              <w:marTop w:val="0"/>
                              <w:marBottom w:val="0"/>
                              <w:divBdr>
                                <w:top w:val="none" w:sz="0" w:space="0" w:color="auto"/>
                                <w:left w:val="none" w:sz="0" w:space="0" w:color="auto"/>
                                <w:bottom w:val="none" w:sz="0" w:space="0" w:color="auto"/>
                                <w:right w:val="none" w:sz="0" w:space="0" w:color="auto"/>
                              </w:divBdr>
                              <w:divsChild>
                                <w:div w:id="1530407472">
                                  <w:marLeft w:val="0"/>
                                  <w:marRight w:val="0"/>
                                  <w:marTop w:val="15"/>
                                  <w:marBottom w:val="0"/>
                                  <w:divBdr>
                                    <w:top w:val="none" w:sz="0" w:space="0" w:color="auto"/>
                                    <w:left w:val="none" w:sz="0" w:space="0" w:color="auto"/>
                                    <w:bottom w:val="none" w:sz="0" w:space="0" w:color="auto"/>
                                    <w:right w:val="none" w:sz="0" w:space="0" w:color="auto"/>
                                  </w:divBdr>
                                  <w:divsChild>
                                    <w:div w:id="619801525">
                                      <w:marLeft w:val="0"/>
                                      <w:marRight w:val="0"/>
                                      <w:marTop w:val="0"/>
                                      <w:marBottom w:val="0"/>
                                      <w:divBdr>
                                        <w:top w:val="none" w:sz="0" w:space="0" w:color="auto"/>
                                        <w:left w:val="none" w:sz="0" w:space="0" w:color="auto"/>
                                        <w:bottom w:val="none" w:sz="0" w:space="0" w:color="auto"/>
                                        <w:right w:val="none" w:sz="0" w:space="0" w:color="auto"/>
                                      </w:divBdr>
                                      <w:divsChild>
                                        <w:div w:id="144319570">
                                          <w:marLeft w:val="0"/>
                                          <w:marRight w:val="0"/>
                                          <w:marTop w:val="0"/>
                                          <w:marBottom w:val="0"/>
                                          <w:divBdr>
                                            <w:top w:val="none" w:sz="0" w:space="0" w:color="auto"/>
                                            <w:left w:val="none" w:sz="0" w:space="0" w:color="auto"/>
                                            <w:bottom w:val="none" w:sz="0" w:space="0" w:color="auto"/>
                                            <w:right w:val="dotted" w:sz="6" w:space="11" w:color="ACA99C"/>
                                          </w:divBdr>
                                        </w:div>
                                        <w:div w:id="666982344">
                                          <w:marLeft w:val="0"/>
                                          <w:marRight w:val="0"/>
                                          <w:marTop w:val="0"/>
                                          <w:marBottom w:val="0"/>
                                          <w:divBdr>
                                            <w:top w:val="none" w:sz="0" w:space="0" w:color="auto"/>
                                            <w:left w:val="none" w:sz="0" w:space="0" w:color="auto"/>
                                            <w:bottom w:val="none" w:sz="0" w:space="0" w:color="auto"/>
                                            <w:right w:val="none" w:sz="0" w:space="0" w:color="auto"/>
                                          </w:divBdr>
                                          <w:divsChild>
                                            <w:div w:id="1250560">
                                              <w:marLeft w:val="0"/>
                                              <w:marRight w:val="0"/>
                                              <w:marTop w:val="0"/>
                                              <w:marBottom w:val="0"/>
                                              <w:divBdr>
                                                <w:top w:val="none" w:sz="0" w:space="0" w:color="auto"/>
                                                <w:left w:val="none" w:sz="0" w:space="0" w:color="auto"/>
                                                <w:bottom w:val="none" w:sz="0" w:space="0" w:color="auto"/>
                                                <w:right w:val="none" w:sz="0" w:space="0" w:color="auto"/>
                                              </w:divBdr>
                                              <w:divsChild>
                                                <w:div w:id="909658000">
                                                  <w:marLeft w:val="0"/>
                                                  <w:marRight w:val="0"/>
                                                  <w:marTop w:val="0"/>
                                                  <w:marBottom w:val="0"/>
                                                  <w:divBdr>
                                                    <w:top w:val="none" w:sz="0" w:space="0" w:color="auto"/>
                                                    <w:left w:val="none" w:sz="0" w:space="0" w:color="auto"/>
                                                    <w:bottom w:val="none" w:sz="0" w:space="0" w:color="auto"/>
                                                    <w:right w:val="none" w:sz="0" w:space="0" w:color="auto"/>
                                                  </w:divBdr>
                                                  <w:divsChild>
                                                    <w:div w:id="1623808238">
                                                      <w:marLeft w:val="0"/>
                                                      <w:marRight w:val="0"/>
                                                      <w:marTop w:val="0"/>
                                                      <w:marBottom w:val="0"/>
                                                      <w:divBdr>
                                                        <w:top w:val="none" w:sz="0" w:space="0" w:color="auto"/>
                                                        <w:left w:val="none" w:sz="0" w:space="0" w:color="auto"/>
                                                        <w:bottom w:val="none" w:sz="0" w:space="0" w:color="auto"/>
                                                        <w:right w:val="none" w:sz="0" w:space="0" w:color="auto"/>
                                                      </w:divBdr>
                                                      <w:divsChild>
                                                        <w:div w:id="20594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A70E24-FBD2-4B56-8B46-FFA770CEFA46}" type="doc">
      <dgm:prSet loTypeId="urn:microsoft.com/office/officeart/2005/8/layout/venn2" loCatId="relationship" qsTypeId="urn:microsoft.com/office/officeart/2005/8/quickstyle/simple3" qsCatId="simple" csTypeId="urn:microsoft.com/office/officeart/2005/8/colors/accent0_1" csCatId="mainScheme" phldr="1"/>
      <dgm:spPr/>
      <dgm:t>
        <a:bodyPr/>
        <a:lstStyle/>
        <a:p>
          <a:endParaRPr lang="en-GB"/>
        </a:p>
      </dgm:t>
    </dgm:pt>
    <dgm:pt modelId="{6D0F9BC9-9493-47FD-9464-736DD8DD9F19}">
      <dgm:prSet phldrT="[Text]" custT="1"/>
      <dgm:spPr>
        <a:xfrm>
          <a:off x="788075" y="0"/>
          <a:ext cx="3124200" cy="3124200"/>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ysClr val="window" lastClr="FFFFFF">
              <a:lumMod val="75000"/>
            </a:sysClr>
          </a:solidFill>
          <a:prstDash val="lgDash"/>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100000"/>
            </a:lnSpc>
            <a:spcAft>
              <a:spcPts val="0"/>
            </a:spcAft>
          </a:pPr>
          <a:r>
            <a:rPr lang="en-GB" sz="800" b="1">
              <a:solidFill>
                <a:sysClr val="windowText" lastClr="000000">
                  <a:hueOff val="0"/>
                  <a:satOff val="0"/>
                  <a:lumOff val="0"/>
                  <a:alphaOff val="0"/>
                </a:sysClr>
              </a:solidFill>
              <a:latin typeface="Calibri"/>
              <a:ea typeface="+mn-ea"/>
              <a:cs typeface="+mn-cs"/>
            </a:rPr>
            <a:t>Level 1</a:t>
          </a:r>
        </a:p>
        <a:p>
          <a:pPr>
            <a:lnSpc>
              <a:spcPct val="100000"/>
            </a:lnSpc>
            <a:spcAft>
              <a:spcPts val="0"/>
            </a:spcAft>
          </a:pPr>
          <a:r>
            <a:rPr lang="en-GB" sz="800">
              <a:solidFill>
                <a:sysClr val="windowText" lastClr="000000">
                  <a:hueOff val="0"/>
                  <a:satOff val="0"/>
                  <a:lumOff val="0"/>
                  <a:alphaOff val="0"/>
                </a:sysClr>
              </a:solidFill>
              <a:latin typeface="Calibri"/>
              <a:ea typeface="+mn-ea"/>
              <a:cs typeface="+mn-cs"/>
            </a:rPr>
            <a:t>University Pathway Division Europe</a:t>
          </a:r>
        </a:p>
      </dgm:t>
    </dgm:pt>
    <dgm:pt modelId="{7D818149-EF03-4203-8FEA-4D277FA98A3A}" type="parTrans" cxnId="{4D5E3D71-2E18-48EA-A33A-2E31C97906CD}">
      <dgm:prSet/>
      <dgm:spPr/>
      <dgm:t>
        <a:bodyPr/>
        <a:lstStyle/>
        <a:p>
          <a:endParaRPr lang="en-GB"/>
        </a:p>
      </dgm:t>
    </dgm:pt>
    <dgm:pt modelId="{C861720C-17D8-4A22-A0FF-6A46DD35399C}" type="sibTrans" cxnId="{4D5E3D71-2E18-48EA-A33A-2E31C97906CD}">
      <dgm:prSet/>
      <dgm:spPr/>
      <dgm:t>
        <a:bodyPr/>
        <a:lstStyle/>
        <a:p>
          <a:endParaRPr lang="en-GB"/>
        </a:p>
      </dgm:t>
    </dgm:pt>
    <dgm:pt modelId="{21E6FD62-44DC-4C3B-B4D7-D86DED093064}">
      <dgm:prSet phldrT="[Text]" custT="1"/>
      <dgm:spPr>
        <a:xfrm>
          <a:off x="1156043" y="719190"/>
          <a:ext cx="2393262" cy="240500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ysClr val="window" lastClr="FFFFFF">
              <a:lumMod val="75000"/>
            </a:sys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100000"/>
            </a:lnSpc>
            <a:spcAft>
              <a:spcPts val="0"/>
            </a:spcAft>
          </a:pPr>
          <a:r>
            <a:rPr lang="en-GB" sz="800" b="1">
              <a:solidFill>
                <a:sysClr val="windowText" lastClr="000000">
                  <a:hueOff val="0"/>
                  <a:satOff val="0"/>
                  <a:lumOff val="0"/>
                  <a:alphaOff val="0"/>
                </a:sysClr>
              </a:solidFill>
              <a:latin typeface="Calibri"/>
              <a:ea typeface="+mn-ea"/>
              <a:cs typeface="+mn-cs"/>
            </a:rPr>
            <a:t>Level 2</a:t>
          </a:r>
        </a:p>
        <a:p>
          <a:pPr>
            <a:lnSpc>
              <a:spcPct val="100000"/>
            </a:lnSpc>
            <a:spcAft>
              <a:spcPts val="0"/>
            </a:spcAft>
          </a:pPr>
          <a:r>
            <a:rPr lang="en-GB" sz="800" b="0">
              <a:solidFill>
                <a:sysClr val="windowText" lastClr="000000">
                  <a:hueOff val="0"/>
                  <a:satOff val="0"/>
                  <a:lumOff val="0"/>
                  <a:alphaOff val="0"/>
                </a:sysClr>
              </a:solidFill>
              <a:latin typeface="Calibri"/>
              <a:ea typeface="+mn-ea"/>
              <a:cs typeface="+mn-cs"/>
            </a:rPr>
            <a:t>Quality and Standards Office Europe</a:t>
          </a:r>
        </a:p>
      </dgm:t>
    </dgm:pt>
    <dgm:pt modelId="{E43E9BD7-1827-4A30-866F-2E4A0D500331}" type="parTrans" cxnId="{CB77FAFA-E805-4A50-B7A3-31EF8B54B41F}">
      <dgm:prSet/>
      <dgm:spPr/>
      <dgm:t>
        <a:bodyPr/>
        <a:lstStyle/>
        <a:p>
          <a:endParaRPr lang="en-GB"/>
        </a:p>
      </dgm:t>
    </dgm:pt>
    <dgm:pt modelId="{659E8098-3784-4939-87C1-0A7B85CA675F}" type="sibTrans" cxnId="{CB77FAFA-E805-4A50-B7A3-31EF8B54B41F}">
      <dgm:prSet/>
      <dgm:spPr/>
      <dgm:t>
        <a:bodyPr/>
        <a:lstStyle/>
        <a:p>
          <a:endParaRPr lang="en-GB"/>
        </a:p>
      </dgm:t>
    </dgm:pt>
    <dgm:pt modelId="{D3B3A0F6-10C0-49E9-9821-0BCECD9A0C89}">
      <dgm:prSet phldrT="[Text]" custT="1"/>
      <dgm:spPr>
        <a:xfrm>
          <a:off x="1863412" y="2181041"/>
          <a:ext cx="1025687" cy="943158"/>
        </a:xfrm>
        <a:solidFill>
          <a:srgbClr val="9BBB59">
            <a:lumMod val="40000"/>
            <a:lumOff val="60000"/>
          </a:srgbClr>
        </a:solidFill>
        <a:ln>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100000"/>
            </a:lnSpc>
            <a:spcAft>
              <a:spcPts val="0"/>
            </a:spcAft>
          </a:pPr>
          <a:r>
            <a:rPr lang="en-GB" sz="800" b="1">
              <a:solidFill>
                <a:sysClr val="windowText" lastClr="000000">
                  <a:hueOff val="0"/>
                  <a:satOff val="0"/>
                  <a:lumOff val="0"/>
                  <a:alphaOff val="0"/>
                </a:sysClr>
              </a:solidFill>
              <a:latin typeface="Calibri"/>
              <a:ea typeface="+mn-ea"/>
              <a:cs typeface="+mn-cs"/>
            </a:rPr>
            <a:t>Level 4</a:t>
          </a:r>
        </a:p>
        <a:p>
          <a:pPr>
            <a:lnSpc>
              <a:spcPct val="100000"/>
            </a:lnSpc>
            <a:spcAft>
              <a:spcPts val="0"/>
            </a:spcAft>
          </a:pPr>
          <a:r>
            <a:rPr lang="en-GB" sz="800">
              <a:solidFill>
                <a:sysClr val="windowText" lastClr="000000">
                  <a:hueOff val="0"/>
                  <a:satOff val="0"/>
                  <a:lumOff val="0"/>
                  <a:alphaOff val="0"/>
                </a:sysClr>
              </a:solidFill>
              <a:latin typeface="Calibri"/>
              <a:ea typeface="+mn-ea"/>
              <a:cs typeface="+mn-cs"/>
            </a:rPr>
            <a:t>College</a:t>
          </a:r>
        </a:p>
      </dgm:t>
    </dgm:pt>
    <dgm:pt modelId="{6BC98517-12F3-4F6B-BCCF-EE55F68E64B7}" type="parTrans" cxnId="{8F78C767-FF4D-47FA-915B-5CAAB6106F31}">
      <dgm:prSet/>
      <dgm:spPr/>
      <dgm:t>
        <a:bodyPr/>
        <a:lstStyle/>
        <a:p>
          <a:endParaRPr lang="en-GB"/>
        </a:p>
      </dgm:t>
    </dgm:pt>
    <dgm:pt modelId="{7F02E221-42F9-4106-A9A3-4592286D05BB}" type="sibTrans" cxnId="{8F78C767-FF4D-47FA-915B-5CAAB6106F31}">
      <dgm:prSet/>
      <dgm:spPr/>
      <dgm:t>
        <a:bodyPr/>
        <a:lstStyle/>
        <a:p>
          <a:endParaRPr lang="en-GB"/>
        </a:p>
      </dgm:t>
    </dgm:pt>
    <dgm:pt modelId="{254A93B7-3613-4C13-8525-3D6AEEF3AF9B}">
      <dgm:prSet phldrT="[Text]" custT="1"/>
      <dgm:spPr>
        <a:xfrm>
          <a:off x="1415415" y="1523134"/>
          <a:ext cx="1874520" cy="1601065"/>
        </a:xfrm>
        <a:solidFill>
          <a:srgbClr val="9BBB59">
            <a:lumMod val="20000"/>
            <a:lumOff val="80000"/>
          </a:srgbClr>
        </a:solidFill>
        <a:ln>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100000"/>
            </a:lnSpc>
            <a:spcAft>
              <a:spcPts val="0"/>
            </a:spcAft>
          </a:pPr>
          <a:r>
            <a:rPr lang="en-GB" sz="800" b="1">
              <a:solidFill>
                <a:sysClr val="windowText" lastClr="000000">
                  <a:hueOff val="0"/>
                  <a:satOff val="0"/>
                  <a:lumOff val="0"/>
                  <a:alphaOff val="0"/>
                </a:sysClr>
              </a:solidFill>
              <a:latin typeface="Calibri"/>
              <a:ea typeface="+mn-ea"/>
              <a:cs typeface="+mn-cs"/>
            </a:rPr>
            <a:t>Level 3</a:t>
          </a:r>
        </a:p>
        <a:p>
          <a:pPr>
            <a:lnSpc>
              <a:spcPct val="100000"/>
            </a:lnSpc>
            <a:spcAft>
              <a:spcPts val="0"/>
            </a:spcAft>
          </a:pPr>
          <a:r>
            <a:rPr lang="en-GB" sz="800">
              <a:solidFill>
                <a:sysClr val="windowText" lastClr="000000">
                  <a:hueOff val="0"/>
                  <a:satOff val="0"/>
                  <a:lumOff val="0"/>
                  <a:alphaOff val="0"/>
                </a:sysClr>
              </a:solidFill>
              <a:latin typeface="Calibri"/>
              <a:ea typeface="+mn-ea"/>
              <a:cs typeface="+mn-cs"/>
            </a:rPr>
            <a:t>Partner University</a:t>
          </a:r>
        </a:p>
      </dgm:t>
    </dgm:pt>
    <dgm:pt modelId="{5749ECC6-DA81-46B8-A918-AF883AA906E3}" type="sibTrans" cxnId="{22979450-3D5B-4598-AC00-8EA5FC187E7F}">
      <dgm:prSet/>
      <dgm:spPr/>
      <dgm:t>
        <a:bodyPr/>
        <a:lstStyle/>
        <a:p>
          <a:endParaRPr lang="en-GB"/>
        </a:p>
      </dgm:t>
    </dgm:pt>
    <dgm:pt modelId="{9AFA0746-CCA4-4D31-B101-5982769AB66D}" type="parTrans" cxnId="{22979450-3D5B-4598-AC00-8EA5FC187E7F}">
      <dgm:prSet/>
      <dgm:spPr/>
      <dgm:t>
        <a:bodyPr/>
        <a:lstStyle/>
        <a:p>
          <a:endParaRPr lang="en-GB"/>
        </a:p>
      </dgm:t>
    </dgm:pt>
    <dgm:pt modelId="{AA251798-B918-4A51-807A-A4CAD270E8CE}" type="pres">
      <dgm:prSet presAssocID="{ACA70E24-FBD2-4B56-8B46-FFA770CEFA46}" presName="Name0" presStyleCnt="0">
        <dgm:presLayoutVars>
          <dgm:chMax val="7"/>
          <dgm:resizeHandles val="exact"/>
        </dgm:presLayoutVars>
      </dgm:prSet>
      <dgm:spPr/>
    </dgm:pt>
    <dgm:pt modelId="{D87DB9EC-21BC-430F-9F7C-546B60CD80FA}" type="pres">
      <dgm:prSet presAssocID="{ACA70E24-FBD2-4B56-8B46-FFA770CEFA46}" presName="comp1" presStyleCnt="0"/>
      <dgm:spPr/>
    </dgm:pt>
    <dgm:pt modelId="{E45D7484-1ADD-4A5F-82AF-F7E9607D5638}" type="pres">
      <dgm:prSet presAssocID="{ACA70E24-FBD2-4B56-8B46-FFA770CEFA46}" presName="circle1" presStyleLbl="node1" presStyleIdx="0" presStyleCnt="4" custScaleX="110755" custLinFactNeighborX="-80" custLinFactNeighborY="0"/>
      <dgm:spPr>
        <a:prstGeom prst="ellipse">
          <a:avLst/>
        </a:prstGeom>
      </dgm:spPr>
    </dgm:pt>
    <dgm:pt modelId="{FA573E10-6F22-4FDD-A730-F29307E64C6C}" type="pres">
      <dgm:prSet presAssocID="{ACA70E24-FBD2-4B56-8B46-FFA770CEFA46}" presName="c1text" presStyleLbl="node1" presStyleIdx="0" presStyleCnt="4">
        <dgm:presLayoutVars>
          <dgm:bulletEnabled val="1"/>
        </dgm:presLayoutVars>
      </dgm:prSet>
      <dgm:spPr/>
    </dgm:pt>
    <dgm:pt modelId="{F5A02B9F-01AA-4F8F-A972-B45456BC3CF6}" type="pres">
      <dgm:prSet presAssocID="{ACA70E24-FBD2-4B56-8B46-FFA770CEFA46}" presName="comp2" presStyleCnt="0"/>
      <dgm:spPr/>
    </dgm:pt>
    <dgm:pt modelId="{AF3BB8A3-E5B8-4CBE-A3C0-4FD7359FC963}" type="pres">
      <dgm:prSet presAssocID="{ACA70E24-FBD2-4B56-8B46-FFA770CEFA46}" presName="circle2" presStyleLbl="node1" presStyleIdx="1" presStyleCnt="4" custScaleX="95755" custScaleY="96225" custLinFactNeighborY="3775"/>
      <dgm:spPr>
        <a:prstGeom prst="ellipse">
          <a:avLst/>
        </a:prstGeom>
      </dgm:spPr>
    </dgm:pt>
    <dgm:pt modelId="{350B7221-E344-425C-AFDA-D99B04CD413F}" type="pres">
      <dgm:prSet presAssocID="{ACA70E24-FBD2-4B56-8B46-FFA770CEFA46}" presName="c2text" presStyleLbl="node1" presStyleIdx="1" presStyleCnt="4">
        <dgm:presLayoutVars>
          <dgm:bulletEnabled val="1"/>
        </dgm:presLayoutVars>
      </dgm:prSet>
      <dgm:spPr/>
    </dgm:pt>
    <dgm:pt modelId="{F636F615-C4F9-4728-945B-C151C735F21F}" type="pres">
      <dgm:prSet presAssocID="{ACA70E24-FBD2-4B56-8B46-FFA770CEFA46}" presName="comp3" presStyleCnt="0"/>
      <dgm:spPr/>
    </dgm:pt>
    <dgm:pt modelId="{F2DCA526-8208-40F6-B610-6E347F0758A3}" type="pres">
      <dgm:prSet presAssocID="{ACA70E24-FBD2-4B56-8B46-FFA770CEFA46}" presName="circle3" presStyleLbl="node1" presStyleIdx="2" presStyleCnt="4" custScaleX="108611" custScaleY="85412" custLinFactNeighborY="9058"/>
      <dgm:spPr>
        <a:prstGeom prst="ellipse">
          <a:avLst/>
        </a:prstGeom>
      </dgm:spPr>
    </dgm:pt>
    <dgm:pt modelId="{38DA93A9-E86A-4D46-8C68-E5B23C18C19B}" type="pres">
      <dgm:prSet presAssocID="{ACA70E24-FBD2-4B56-8B46-FFA770CEFA46}" presName="c3text" presStyleLbl="node1" presStyleIdx="2" presStyleCnt="4">
        <dgm:presLayoutVars>
          <dgm:bulletEnabled val="1"/>
        </dgm:presLayoutVars>
      </dgm:prSet>
      <dgm:spPr/>
    </dgm:pt>
    <dgm:pt modelId="{C23ACCEF-085D-492F-93F8-AF5276F845B7}" type="pres">
      <dgm:prSet presAssocID="{ACA70E24-FBD2-4B56-8B46-FFA770CEFA46}" presName="comp4" presStyleCnt="0"/>
      <dgm:spPr/>
    </dgm:pt>
    <dgm:pt modelId="{61FF3E3F-3539-4293-9E58-36DE00107BBB}" type="pres">
      <dgm:prSet presAssocID="{ACA70E24-FBD2-4B56-8B46-FFA770CEFA46}" presName="circle4" presStyleLbl="node1" presStyleIdx="3" presStyleCnt="4" custScaleX="90440" custScaleY="75472" custLinFactNeighborX="1887" custLinFactNeighborY="12264"/>
      <dgm:spPr>
        <a:prstGeom prst="ellipse">
          <a:avLst/>
        </a:prstGeom>
      </dgm:spPr>
    </dgm:pt>
    <dgm:pt modelId="{BCD6A3CD-75E0-42FB-828F-9333FF742905}" type="pres">
      <dgm:prSet presAssocID="{ACA70E24-FBD2-4B56-8B46-FFA770CEFA46}" presName="c4text" presStyleLbl="node1" presStyleIdx="3" presStyleCnt="4">
        <dgm:presLayoutVars>
          <dgm:bulletEnabled val="1"/>
        </dgm:presLayoutVars>
      </dgm:prSet>
      <dgm:spPr/>
    </dgm:pt>
  </dgm:ptLst>
  <dgm:cxnLst>
    <dgm:cxn modelId="{F633481B-94E0-4BC0-8BB5-E0651CE5D6A8}" type="presOf" srcId="{254A93B7-3613-4C13-8525-3D6AEEF3AF9B}" destId="{38DA93A9-E86A-4D46-8C68-E5B23C18C19B}" srcOrd="1" destOrd="0" presId="urn:microsoft.com/office/officeart/2005/8/layout/venn2"/>
    <dgm:cxn modelId="{8F78C767-FF4D-47FA-915B-5CAAB6106F31}" srcId="{ACA70E24-FBD2-4B56-8B46-FFA770CEFA46}" destId="{D3B3A0F6-10C0-49E9-9821-0BCECD9A0C89}" srcOrd="3" destOrd="0" parTransId="{6BC98517-12F3-4F6B-BCCF-EE55F68E64B7}" sibTransId="{7F02E221-42F9-4106-A9A3-4592286D05BB}"/>
    <dgm:cxn modelId="{EE0AA949-4F5B-4898-BA1C-876B59C3926F}" type="presOf" srcId="{6D0F9BC9-9493-47FD-9464-736DD8DD9F19}" destId="{E45D7484-1ADD-4A5F-82AF-F7E9607D5638}" srcOrd="0" destOrd="0" presId="urn:microsoft.com/office/officeart/2005/8/layout/venn2"/>
    <dgm:cxn modelId="{C4850E4D-468F-4FCF-BA48-FF97AA997F86}" type="presOf" srcId="{6D0F9BC9-9493-47FD-9464-736DD8DD9F19}" destId="{FA573E10-6F22-4FDD-A730-F29307E64C6C}" srcOrd="1" destOrd="0" presId="urn:microsoft.com/office/officeart/2005/8/layout/venn2"/>
    <dgm:cxn modelId="{22979450-3D5B-4598-AC00-8EA5FC187E7F}" srcId="{ACA70E24-FBD2-4B56-8B46-FFA770CEFA46}" destId="{254A93B7-3613-4C13-8525-3D6AEEF3AF9B}" srcOrd="2" destOrd="0" parTransId="{9AFA0746-CCA4-4D31-B101-5982769AB66D}" sibTransId="{5749ECC6-DA81-46B8-A918-AF883AA906E3}"/>
    <dgm:cxn modelId="{4D5E3D71-2E18-48EA-A33A-2E31C97906CD}" srcId="{ACA70E24-FBD2-4B56-8B46-FFA770CEFA46}" destId="{6D0F9BC9-9493-47FD-9464-736DD8DD9F19}" srcOrd="0" destOrd="0" parTransId="{7D818149-EF03-4203-8FEA-4D277FA98A3A}" sibTransId="{C861720C-17D8-4A22-A0FF-6A46DD35399C}"/>
    <dgm:cxn modelId="{F9798AAB-1763-47C1-8775-ED1E0C7B3524}" type="presOf" srcId="{D3B3A0F6-10C0-49E9-9821-0BCECD9A0C89}" destId="{BCD6A3CD-75E0-42FB-828F-9333FF742905}" srcOrd="1" destOrd="0" presId="urn:microsoft.com/office/officeart/2005/8/layout/venn2"/>
    <dgm:cxn modelId="{13D80DB5-F745-4384-99E1-5E6234EE413B}" type="presOf" srcId="{ACA70E24-FBD2-4B56-8B46-FFA770CEFA46}" destId="{AA251798-B918-4A51-807A-A4CAD270E8CE}" srcOrd="0" destOrd="0" presId="urn:microsoft.com/office/officeart/2005/8/layout/venn2"/>
    <dgm:cxn modelId="{CA7BAACC-1660-46F8-A435-142CF4AB729C}" type="presOf" srcId="{21E6FD62-44DC-4C3B-B4D7-D86DED093064}" destId="{AF3BB8A3-E5B8-4CBE-A3C0-4FD7359FC963}" srcOrd="0" destOrd="0" presId="urn:microsoft.com/office/officeart/2005/8/layout/venn2"/>
    <dgm:cxn modelId="{D21C7BD0-627C-46D1-9496-A63AB7CE1363}" type="presOf" srcId="{D3B3A0F6-10C0-49E9-9821-0BCECD9A0C89}" destId="{61FF3E3F-3539-4293-9E58-36DE00107BBB}" srcOrd="0" destOrd="0" presId="urn:microsoft.com/office/officeart/2005/8/layout/venn2"/>
    <dgm:cxn modelId="{3F9DB3D5-CB02-4CDC-A284-2CA82E12CD90}" type="presOf" srcId="{21E6FD62-44DC-4C3B-B4D7-D86DED093064}" destId="{350B7221-E344-425C-AFDA-D99B04CD413F}" srcOrd="1" destOrd="0" presId="urn:microsoft.com/office/officeart/2005/8/layout/venn2"/>
    <dgm:cxn modelId="{AD1904ED-741C-413A-9728-A89BADF1298F}" type="presOf" srcId="{254A93B7-3613-4C13-8525-3D6AEEF3AF9B}" destId="{F2DCA526-8208-40F6-B610-6E347F0758A3}" srcOrd="0" destOrd="0" presId="urn:microsoft.com/office/officeart/2005/8/layout/venn2"/>
    <dgm:cxn modelId="{CB77FAFA-E805-4A50-B7A3-31EF8B54B41F}" srcId="{ACA70E24-FBD2-4B56-8B46-FFA770CEFA46}" destId="{21E6FD62-44DC-4C3B-B4D7-D86DED093064}" srcOrd="1" destOrd="0" parTransId="{E43E9BD7-1827-4A30-866F-2E4A0D500331}" sibTransId="{659E8098-3784-4939-87C1-0A7B85CA675F}"/>
    <dgm:cxn modelId="{8C031DF0-6F9C-4C16-85F7-1B0733E087D9}" type="presParOf" srcId="{AA251798-B918-4A51-807A-A4CAD270E8CE}" destId="{D87DB9EC-21BC-430F-9F7C-546B60CD80FA}" srcOrd="0" destOrd="0" presId="urn:microsoft.com/office/officeart/2005/8/layout/venn2"/>
    <dgm:cxn modelId="{C7BD0662-9598-49A6-A14F-F50D8FC0B572}" type="presParOf" srcId="{D87DB9EC-21BC-430F-9F7C-546B60CD80FA}" destId="{E45D7484-1ADD-4A5F-82AF-F7E9607D5638}" srcOrd="0" destOrd="0" presId="urn:microsoft.com/office/officeart/2005/8/layout/venn2"/>
    <dgm:cxn modelId="{FA0BA38E-673A-4CDE-8D83-B790B13F9704}" type="presParOf" srcId="{D87DB9EC-21BC-430F-9F7C-546B60CD80FA}" destId="{FA573E10-6F22-4FDD-A730-F29307E64C6C}" srcOrd="1" destOrd="0" presId="urn:microsoft.com/office/officeart/2005/8/layout/venn2"/>
    <dgm:cxn modelId="{37A877D8-33F3-4330-8C54-58D3BE44FBFA}" type="presParOf" srcId="{AA251798-B918-4A51-807A-A4CAD270E8CE}" destId="{F5A02B9F-01AA-4F8F-A972-B45456BC3CF6}" srcOrd="1" destOrd="0" presId="urn:microsoft.com/office/officeart/2005/8/layout/venn2"/>
    <dgm:cxn modelId="{81FA57D2-50E9-4228-A7D1-B42312D8503E}" type="presParOf" srcId="{F5A02B9F-01AA-4F8F-A972-B45456BC3CF6}" destId="{AF3BB8A3-E5B8-4CBE-A3C0-4FD7359FC963}" srcOrd="0" destOrd="0" presId="urn:microsoft.com/office/officeart/2005/8/layout/venn2"/>
    <dgm:cxn modelId="{B6397E9C-3A9B-4F42-9886-0F43B2BFC14A}" type="presParOf" srcId="{F5A02B9F-01AA-4F8F-A972-B45456BC3CF6}" destId="{350B7221-E344-425C-AFDA-D99B04CD413F}" srcOrd="1" destOrd="0" presId="urn:microsoft.com/office/officeart/2005/8/layout/venn2"/>
    <dgm:cxn modelId="{F01DCFA5-C0BA-47A7-8EF2-8BCAF41759EE}" type="presParOf" srcId="{AA251798-B918-4A51-807A-A4CAD270E8CE}" destId="{F636F615-C4F9-4728-945B-C151C735F21F}" srcOrd="2" destOrd="0" presId="urn:microsoft.com/office/officeart/2005/8/layout/venn2"/>
    <dgm:cxn modelId="{C91D747F-8C13-4206-8080-7EDF64136A3B}" type="presParOf" srcId="{F636F615-C4F9-4728-945B-C151C735F21F}" destId="{F2DCA526-8208-40F6-B610-6E347F0758A3}" srcOrd="0" destOrd="0" presId="urn:microsoft.com/office/officeart/2005/8/layout/venn2"/>
    <dgm:cxn modelId="{50424465-247A-4A28-BE13-7197B7F3D217}" type="presParOf" srcId="{F636F615-C4F9-4728-945B-C151C735F21F}" destId="{38DA93A9-E86A-4D46-8C68-E5B23C18C19B}" srcOrd="1" destOrd="0" presId="urn:microsoft.com/office/officeart/2005/8/layout/venn2"/>
    <dgm:cxn modelId="{1B3A9254-1868-4560-A37A-007D35DC2D28}" type="presParOf" srcId="{AA251798-B918-4A51-807A-A4CAD270E8CE}" destId="{C23ACCEF-085D-492F-93F8-AF5276F845B7}" srcOrd="3" destOrd="0" presId="urn:microsoft.com/office/officeart/2005/8/layout/venn2"/>
    <dgm:cxn modelId="{2EBEF083-01EC-4C8B-BF5E-AAE0AA0F7121}" type="presParOf" srcId="{C23ACCEF-085D-492F-93F8-AF5276F845B7}" destId="{61FF3E3F-3539-4293-9E58-36DE00107BBB}" srcOrd="0" destOrd="0" presId="urn:microsoft.com/office/officeart/2005/8/layout/venn2"/>
    <dgm:cxn modelId="{3E339C7D-A98A-4698-8C5C-89249806FFFE}" type="presParOf" srcId="{C23ACCEF-085D-492F-93F8-AF5276F845B7}" destId="{BCD6A3CD-75E0-42FB-828F-9333FF742905}" srcOrd="1" destOrd="0" presId="urn:microsoft.com/office/officeart/2005/8/layout/ven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7B7645-6A5B-46D7-8DDE-D6A32555F27E}" type="doc">
      <dgm:prSet loTypeId="urn:microsoft.com/office/officeart/2005/8/layout/hierarchy4" loCatId="hierarchy" qsTypeId="urn:microsoft.com/office/officeart/2005/8/quickstyle/simple1" qsCatId="simple" csTypeId="urn:microsoft.com/office/officeart/2005/8/colors/accent3_5" csCatId="accent3" phldr="1"/>
      <dgm:spPr/>
      <dgm:t>
        <a:bodyPr/>
        <a:lstStyle/>
        <a:p>
          <a:endParaRPr lang="en-GB"/>
        </a:p>
      </dgm:t>
    </dgm:pt>
    <dgm:pt modelId="{76A189C0-DE14-4539-BC2E-72021363EFA9}">
      <dgm:prSet phldrT="[Text]"/>
      <dgm:spPr>
        <a:xfrm>
          <a:off x="399" y="437574"/>
          <a:ext cx="2275894" cy="378210"/>
        </a:xfrm>
        <a:solidFill>
          <a:srgbClr val="9BBB59">
            <a:alpha val="7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 in Management</a:t>
          </a:r>
        </a:p>
      </dgm:t>
    </dgm:pt>
    <dgm:pt modelId="{2C9561AC-CD2F-4E5A-8461-7E9946F73DC2}" type="parTrans" cxnId="{21B04DB0-8AE8-4450-9773-A666EB0B5509}">
      <dgm:prSet/>
      <dgm:spPr/>
      <dgm:t>
        <a:bodyPr/>
        <a:lstStyle/>
        <a:p>
          <a:endParaRPr lang="en-GB"/>
        </a:p>
      </dgm:t>
    </dgm:pt>
    <dgm:pt modelId="{A888F368-EDA4-498A-BA59-60C0C4630A35}" type="sibTrans" cxnId="{21B04DB0-8AE8-4450-9773-A666EB0B5509}">
      <dgm:prSet/>
      <dgm:spPr/>
      <dgm:t>
        <a:bodyPr/>
        <a:lstStyle/>
        <a:p>
          <a:endParaRPr lang="en-GB"/>
        </a:p>
      </dgm:t>
    </dgm:pt>
    <dgm:pt modelId="{76E6DC94-8DFE-4786-A46F-93CB70795C52}">
      <dgm:prSet phldrT="[Text]"/>
      <dgm:spPr>
        <a:xfrm>
          <a:off x="0" y="875148"/>
          <a:ext cx="1114541" cy="378210"/>
        </a:xfr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Management Stream</a:t>
          </a:r>
        </a:p>
      </dgm:t>
    </dgm:pt>
    <dgm:pt modelId="{AD31C018-32FD-43A1-8123-50F68A1891E5}" type="parTrans" cxnId="{CC88E697-0228-4658-A4DA-519BA72D71C1}">
      <dgm:prSet/>
      <dgm:spPr/>
      <dgm:t>
        <a:bodyPr/>
        <a:lstStyle/>
        <a:p>
          <a:endParaRPr lang="en-GB"/>
        </a:p>
      </dgm:t>
    </dgm:pt>
    <dgm:pt modelId="{648A5F7E-638E-453D-885B-48E23C1FAE04}" type="sibTrans" cxnId="{CC88E697-0228-4658-A4DA-519BA72D71C1}">
      <dgm:prSet/>
      <dgm:spPr/>
      <dgm:t>
        <a:bodyPr/>
        <a:lstStyle/>
        <a:p>
          <a:endParaRPr lang="en-GB"/>
        </a:p>
      </dgm:t>
    </dgm:pt>
    <dgm:pt modelId="{4C6A7142-58DE-4F15-9690-876BA056CE45}">
      <dgm:prSet phldrT="[Text]"/>
      <dgm:spPr>
        <a:xfrm>
          <a:off x="1161752" y="874673"/>
          <a:ext cx="1114541" cy="378210"/>
        </a:xfr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Tourism Stream</a:t>
          </a:r>
        </a:p>
      </dgm:t>
    </dgm:pt>
    <dgm:pt modelId="{FE28579E-E8CF-4AC1-88AF-5A2024AAFAE5}" type="parTrans" cxnId="{4B00BABF-8B0E-4EFC-8111-820C0937B801}">
      <dgm:prSet/>
      <dgm:spPr/>
      <dgm:t>
        <a:bodyPr/>
        <a:lstStyle/>
        <a:p>
          <a:endParaRPr lang="en-GB"/>
        </a:p>
      </dgm:t>
    </dgm:pt>
    <dgm:pt modelId="{63D640D5-75FD-4F5A-B0D4-916DBE0B8B7F}" type="sibTrans" cxnId="{4B00BABF-8B0E-4EFC-8111-820C0937B801}">
      <dgm:prSet/>
      <dgm:spPr/>
      <dgm:t>
        <a:bodyPr/>
        <a:lstStyle/>
        <a:p>
          <a:endParaRPr lang="en-GB"/>
        </a:p>
      </dgm:t>
    </dgm:pt>
    <dgm:pt modelId="{9275BBB7-E6B1-4313-A7FC-7C6E9EFD3DDF}">
      <dgm:prSet phldrT="[Text]"/>
      <dgm:spPr>
        <a:xfrm>
          <a:off x="2370316" y="437574"/>
          <a:ext cx="1114541" cy="378210"/>
        </a:xfrm>
        <a:solidFill>
          <a:srgbClr val="9BBB59">
            <a:alpha val="7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 in Economics</a:t>
          </a:r>
        </a:p>
      </dgm:t>
    </dgm:pt>
    <dgm:pt modelId="{1C46CC7D-3C1E-43D3-856C-072BC331C6DA}" type="parTrans" cxnId="{7B3CEBA2-8259-42BD-8B22-2DE46CF99360}">
      <dgm:prSet/>
      <dgm:spPr/>
      <dgm:t>
        <a:bodyPr/>
        <a:lstStyle/>
        <a:p>
          <a:endParaRPr lang="en-GB"/>
        </a:p>
      </dgm:t>
    </dgm:pt>
    <dgm:pt modelId="{FBB56EB9-E487-4B7B-BD45-5B24C3F59E9D}" type="sibTrans" cxnId="{7B3CEBA2-8259-42BD-8B22-2DE46CF99360}">
      <dgm:prSet/>
      <dgm:spPr/>
      <dgm:t>
        <a:bodyPr/>
        <a:lstStyle/>
        <a:p>
          <a:endParaRPr lang="en-GB"/>
        </a:p>
      </dgm:t>
    </dgm:pt>
    <dgm:pt modelId="{FB667FD2-0DE9-4296-8DC2-89C6976E1F84}">
      <dgm:prSet phldrT="[Text]"/>
      <dgm:spPr>
        <a:xfrm>
          <a:off x="2369916" y="874673"/>
          <a:ext cx="1114541" cy="378210"/>
        </a:xfr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Economics Stream</a:t>
          </a:r>
        </a:p>
      </dgm:t>
    </dgm:pt>
    <dgm:pt modelId="{FDB563AE-93D5-4DBF-BB15-1C26FBC9A170}" type="parTrans" cxnId="{1CA917AE-2640-42D4-8917-C5D504C2D327}">
      <dgm:prSet/>
      <dgm:spPr/>
      <dgm:t>
        <a:bodyPr/>
        <a:lstStyle/>
        <a:p>
          <a:endParaRPr lang="en-GB"/>
        </a:p>
      </dgm:t>
    </dgm:pt>
    <dgm:pt modelId="{1C134CB3-E473-446A-933D-68696E2E33B8}" type="sibTrans" cxnId="{1CA917AE-2640-42D4-8917-C5D504C2D327}">
      <dgm:prSet/>
      <dgm:spPr/>
      <dgm:t>
        <a:bodyPr/>
        <a:lstStyle/>
        <a:p>
          <a:endParaRPr lang="en-GB"/>
        </a:p>
      </dgm:t>
    </dgm:pt>
    <dgm:pt modelId="{FA92F749-14BD-4896-9FCA-046C96C728CF}">
      <dgm:prSet phldrT="[Text]"/>
      <dgm:spPr>
        <a:xfrm>
          <a:off x="799" y="0"/>
          <a:ext cx="3484058" cy="378210"/>
        </a:xfrm>
        <a:solidFill>
          <a:srgbClr val="9BBB59">
            <a:alpha val="8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Business Pathway</a:t>
          </a:r>
        </a:p>
      </dgm:t>
    </dgm:pt>
    <dgm:pt modelId="{91C5F07A-B253-4DF1-AD2D-2360515B29B8}" type="sibTrans" cxnId="{3B3F9EE4-879B-441C-BCA7-E60882D299EA}">
      <dgm:prSet/>
      <dgm:spPr/>
      <dgm:t>
        <a:bodyPr/>
        <a:lstStyle/>
        <a:p>
          <a:endParaRPr lang="en-GB"/>
        </a:p>
      </dgm:t>
    </dgm:pt>
    <dgm:pt modelId="{D149CE2A-EE5E-4454-AF81-E06149060A6A}" type="parTrans" cxnId="{3B3F9EE4-879B-441C-BCA7-E60882D299EA}">
      <dgm:prSet/>
      <dgm:spPr/>
      <dgm:t>
        <a:bodyPr/>
        <a:lstStyle/>
        <a:p>
          <a:endParaRPr lang="en-GB"/>
        </a:p>
      </dgm:t>
    </dgm:pt>
    <dgm:pt modelId="{478816E7-6F26-4B63-B805-F57F78CC8C95}" type="pres">
      <dgm:prSet presAssocID="{B17B7645-6A5B-46D7-8DDE-D6A32555F27E}" presName="Name0" presStyleCnt="0">
        <dgm:presLayoutVars>
          <dgm:chPref val="1"/>
          <dgm:dir/>
          <dgm:animOne val="branch"/>
          <dgm:animLvl val="lvl"/>
          <dgm:resizeHandles/>
        </dgm:presLayoutVars>
      </dgm:prSet>
      <dgm:spPr/>
    </dgm:pt>
    <dgm:pt modelId="{F03F315A-DE03-4F5F-9BAE-83DCE48DC0DB}" type="pres">
      <dgm:prSet presAssocID="{FA92F749-14BD-4896-9FCA-046C96C728CF}" presName="vertOne" presStyleCnt="0"/>
      <dgm:spPr/>
    </dgm:pt>
    <dgm:pt modelId="{9F7C36AB-C453-4F1B-8334-9EF2BC78917B}" type="pres">
      <dgm:prSet presAssocID="{FA92F749-14BD-4896-9FCA-046C96C728CF}" presName="txOne" presStyleLbl="node0" presStyleIdx="0" presStyleCnt="1" custLinFactNeighborX="12" custLinFactNeighborY="-980">
        <dgm:presLayoutVars>
          <dgm:chPref val="3"/>
        </dgm:presLayoutVars>
      </dgm:prSet>
      <dgm:spPr>
        <a:prstGeom prst="roundRect">
          <a:avLst>
            <a:gd name="adj" fmla="val 10000"/>
          </a:avLst>
        </a:prstGeom>
      </dgm:spPr>
    </dgm:pt>
    <dgm:pt modelId="{8BBC7AAB-CFF5-40A2-A642-8915B1DEE968}" type="pres">
      <dgm:prSet presAssocID="{FA92F749-14BD-4896-9FCA-046C96C728CF}" presName="parTransOne" presStyleCnt="0"/>
      <dgm:spPr/>
    </dgm:pt>
    <dgm:pt modelId="{40993D26-254D-4F95-BDD5-449D8AF1FBF9}" type="pres">
      <dgm:prSet presAssocID="{FA92F749-14BD-4896-9FCA-046C96C728CF}" presName="horzOne" presStyleCnt="0"/>
      <dgm:spPr/>
    </dgm:pt>
    <dgm:pt modelId="{E501354A-2B55-45D2-8E13-73E99DF296C3}" type="pres">
      <dgm:prSet presAssocID="{76A189C0-DE14-4539-BC2E-72021363EFA9}" presName="vertTwo" presStyleCnt="0"/>
      <dgm:spPr/>
    </dgm:pt>
    <dgm:pt modelId="{915B7333-7C66-4748-9BEF-4BAD8CB91BC8}" type="pres">
      <dgm:prSet presAssocID="{76A189C0-DE14-4539-BC2E-72021363EFA9}" presName="txTwo" presStyleLbl="node2" presStyleIdx="0" presStyleCnt="2">
        <dgm:presLayoutVars>
          <dgm:chPref val="3"/>
        </dgm:presLayoutVars>
      </dgm:prSet>
      <dgm:spPr>
        <a:prstGeom prst="roundRect">
          <a:avLst>
            <a:gd name="adj" fmla="val 10000"/>
          </a:avLst>
        </a:prstGeom>
      </dgm:spPr>
    </dgm:pt>
    <dgm:pt modelId="{2516F4F6-D1BB-4E62-8F02-041DCDD18F11}" type="pres">
      <dgm:prSet presAssocID="{76A189C0-DE14-4539-BC2E-72021363EFA9}" presName="parTransTwo" presStyleCnt="0"/>
      <dgm:spPr/>
    </dgm:pt>
    <dgm:pt modelId="{C2DD9402-A8F6-4FB4-8589-A9B1EFE093ED}" type="pres">
      <dgm:prSet presAssocID="{76A189C0-DE14-4539-BC2E-72021363EFA9}" presName="horzTwo" presStyleCnt="0"/>
      <dgm:spPr/>
    </dgm:pt>
    <dgm:pt modelId="{419A1B5D-B899-47AA-8811-74121C48624D}" type="pres">
      <dgm:prSet presAssocID="{76E6DC94-8DFE-4786-A46F-93CB70795C52}" presName="vertThree" presStyleCnt="0"/>
      <dgm:spPr/>
    </dgm:pt>
    <dgm:pt modelId="{B15E83F4-33F9-4D6D-B458-55CBD6ADB21A}" type="pres">
      <dgm:prSet presAssocID="{76E6DC94-8DFE-4786-A46F-93CB70795C52}" presName="txThree" presStyleLbl="node3" presStyleIdx="0" presStyleCnt="3" custLinFactNeighborX="-36" custLinFactNeighborY="630">
        <dgm:presLayoutVars>
          <dgm:chPref val="3"/>
        </dgm:presLayoutVars>
      </dgm:prSet>
      <dgm:spPr>
        <a:prstGeom prst="roundRect">
          <a:avLst>
            <a:gd name="adj" fmla="val 10000"/>
          </a:avLst>
        </a:prstGeom>
      </dgm:spPr>
    </dgm:pt>
    <dgm:pt modelId="{892F68B8-1ECD-4DCB-B0B9-DEC7FC2F229E}" type="pres">
      <dgm:prSet presAssocID="{76E6DC94-8DFE-4786-A46F-93CB70795C52}" presName="horzThree" presStyleCnt="0"/>
      <dgm:spPr/>
    </dgm:pt>
    <dgm:pt modelId="{4BCE528C-1DDE-4EB9-B0BA-FCCA2E2E5C19}" type="pres">
      <dgm:prSet presAssocID="{648A5F7E-638E-453D-885B-48E23C1FAE04}" presName="sibSpaceThree" presStyleCnt="0"/>
      <dgm:spPr/>
    </dgm:pt>
    <dgm:pt modelId="{D4A5FEB3-0F2C-413B-9F08-5E85AFE69B95}" type="pres">
      <dgm:prSet presAssocID="{4C6A7142-58DE-4F15-9690-876BA056CE45}" presName="vertThree" presStyleCnt="0"/>
      <dgm:spPr/>
    </dgm:pt>
    <dgm:pt modelId="{BB761CC0-27D4-49F6-BF9C-9DE9DD9644BF}" type="pres">
      <dgm:prSet presAssocID="{4C6A7142-58DE-4F15-9690-876BA056CE45}" presName="txThree" presStyleLbl="node3" presStyleIdx="1" presStyleCnt="3">
        <dgm:presLayoutVars>
          <dgm:chPref val="3"/>
        </dgm:presLayoutVars>
      </dgm:prSet>
      <dgm:spPr>
        <a:prstGeom prst="roundRect">
          <a:avLst>
            <a:gd name="adj" fmla="val 10000"/>
          </a:avLst>
        </a:prstGeom>
      </dgm:spPr>
    </dgm:pt>
    <dgm:pt modelId="{358908AB-D6CF-426C-8BD8-92D7D6DC1B8A}" type="pres">
      <dgm:prSet presAssocID="{4C6A7142-58DE-4F15-9690-876BA056CE45}" presName="horzThree" presStyleCnt="0"/>
      <dgm:spPr/>
    </dgm:pt>
    <dgm:pt modelId="{6C1BA6B6-38D1-472F-9579-DECF076CA544}" type="pres">
      <dgm:prSet presAssocID="{A888F368-EDA4-498A-BA59-60C0C4630A35}" presName="sibSpaceTwo" presStyleCnt="0"/>
      <dgm:spPr/>
    </dgm:pt>
    <dgm:pt modelId="{E8551CF4-2071-4A38-BA28-76C3B51FD29A}" type="pres">
      <dgm:prSet presAssocID="{9275BBB7-E6B1-4313-A7FC-7C6E9EFD3DDF}" presName="vertTwo" presStyleCnt="0"/>
      <dgm:spPr/>
    </dgm:pt>
    <dgm:pt modelId="{5EF1096F-A4F8-4B39-8BE8-E023E3B09B66}" type="pres">
      <dgm:prSet presAssocID="{9275BBB7-E6B1-4313-A7FC-7C6E9EFD3DDF}" presName="txTwo" presStyleLbl="node2" presStyleIdx="1" presStyleCnt="2" custLinFactNeighborX="36">
        <dgm:presLayoutVars>
          <dgm:chPref val="3"/>
        </dgm:presLayoutVars>
      </dgm:prSet>
      <dgm:spPr>
        <a:prstGeom prst="roundRect">
          <a:avLst>
            <a:gd name="adj" fmla="val 10000"/>
          </a:avLst>
        </a:prstGeom>
      </dgm:spPr>
    </dgm:pt>
    <dgm:pt modelId="{D063144B-B7DE-4EAE-937D-E1F2981CC442}" type="pres">
      <dgm:prSet presAssocID="{9275BBB7-E6B1-4313-A7FC-7C6E9EFD3DDF}" presName="parTransTwo" presStyleCnt="0"/>
      <dgm:spPr/>
    </dgm:pt>
    <dgm:pt modelId="{EFC6A166-3F5B-4381-9514-E2A9C780A4B1}" type="pres">
      <dgm:prSet presAssocID="{9275BBB7-E6B1-4313-A7FC-7C6E9EFD3DDF}" presName="horzTwo" presStyleCnt="0"/>
      <dgm:spPr/>
    </dgm:pt>
    <dgm:pt modelId="{F92724DF-8FFE-404F-950C-9EB6836A2EF6}" type="pres">
      <dgm:prSet presAssocID="{FB667FD2-0DE9-4296-8DC2-89C6976E1F84}" presName="vertThree" presStyleCnt="0"/>
      <dgm:spPr/>
    </dgm:pt>
    <dgm:pt modelId="{BDD39C68-12C4-4FC1-9BDC-80D688092F65}" type="pres">
      <dgm:prSet presAssocID="{FB667FD2-0DE9-4296-8DC2-89C6976E1F84}" presName="txThree" presStyleLbl="node3" presStyleIdx="2" presStyleCnt="3">
        <dgm:presLayoutVars>
          <dgm:chPref val="3"/>
        </dgm:presLayoutVars>
      </dgm:prSet>
      <dgm:spPr>
        <a:prstGeom prst="roundRect">
          <a:avLst>
            <a:gd name="adj" fmla="val 10000"/>
          </a:avLst>
        </a:prstGeom>
      </dgm:spPr>
    </dgm:pt>
    <dgm:pt modelId="{90EB320F-1BAB-48E7-9596-B691E97ABFF6}" type="pres">
      <dgm:prSet presAssocID="{FB667FD2-0DE9-4296-8DC2-89C6976E1F84}" presName="horzThree" presStyleCnt="0"/>
      <dgm:spPr/>
    </dgm:pt>
  </dgm:ptLst>
  <dgm:cxnLst>
    <dgm:cxn modelId="{2892CF20-D955-4F97-87AF-4A9774C0B350}" type="presOf" srcId="{4C6A7142-58DE-4F15-9690-876BA056CE45}" destId="{BB761CC0-27D4-49F6-BF9C-9DE9DD9644BF}" srcOrd="0" destOrd="0" presId="urn:microsoft.com/office/officeart/2005/8/layout/hierarchy4"/>
    <dgm:cxn modelId="{59862338-5202-4D2B-B50C-C98C754901D1}" type="presOf" srcId="{76A189C0-DE14-4539-BC2E-72021363EFA9}" destId="{915B7333-7C66-4748-9BEF-4BAD8CB91BC8}" srcOrd="0" destOrd="0" presId="urn:microsoft.com/office/officeart/2005/8/layout/hierarchy4"/>
    <dgm:cxn modelId="{CC88E697-0228-4658-A4DA-519BA72D71C1}" srcId="{76A189C0-DE14-4539-BC2E-72021363EFA9}" destId="{76E6DC94-8DFE-4786-A46F-93CB70795C52}" srcOrd="0" destOrd="0" parTransId="{AD31C018-32FD-43A1-8123-50F68A1891E5}" sibTransId="{648A5F7E-638E-453D-885B-48E23C1FAE04}"/>
    <dgm:cxn modelId="{1FBE369B-5E1B-4324-8E6A-6022527EF232}" type="presOf" srcId="{B17B7645-6A5B-46D7-8DDE-D6A32555F27E}" destId="{478816E7-6F26-4B63-B805-F57F78CC8C95}" srcOrd="0" destOrd="0" presId="urn:microsoft.com/office/officeart/2005/8/layout/hierarchy4"/>
    <dgm:cxn modelId="{7B3CEBA2-8259-42BD-8B22-2DE46CF99360}" srcId="{FA92F749-14BD-4896-9FCA-046C96C728CF}" destId="{9275BBB7-E6B1-4313-A7FC-7C6E9EFD3DDF}" srcOrd="1" destOrd="0" parTransId="{1C46CC7D-3C1E-43D3-856C-072BC331C6DA}" sibTransId="{FBB56EB9-E487-4B7B-BD45-5B24C3F59E9D}"/>
    <dgm:cxn modelId="{B8EFC0A6-E0B9-4072-ABA0-7BBB3369A4C2}" type="presOf" srcId="{FB667FD2-0DE9-4296-8DC2-89C6976E1F84}" destId="{BDD39C68-12C4-4FC1-9BDC-80D688092F65}" srcOrd="0" destOrd="0" presId="urn:microsoft.com/office/officeart/2005/8/layout/hierarchy4"/>
    <dgm:cxn modelId="{1CA917AE-2640-42D4-8917-C5D504C2D327}" srcId="{9275BBB7-E6B1-4313-A7FC-7C6E9EFD3DDF}" destId="{FB667FD2-0DE9-4296-8DC2-89C6976E1F84}" srcOrd="0" destOrd="0" parTransId="{FDB563AE-93D5-4DBF-BB15-1C26FBC9A170}" sibTransId="{1C134CB3-E473-446A-933D-68696E2E33B8}"/>
    <dgm:cxn modelId="{21B04DB0-8AE8-4450-9773-A666EB0B5509}" srcId="{FA92F749-14BD-4896-9FCA-046C96C728CF}" destId="{76A189C0-DE14-4539-BC2E-72021363EFA9}" srcOrd="0" destOrd="0" parTransId="{2C9561AC-CD2F-4E5A-8461-7E9946F73DC2}" sibTransId="{A888F368-EDA4-498A-BA59-60C0C4630A35}"/>
    <dgm:cxn modelId="{4B00BABF-8B0E-4EFC-8111-820C0937B801}" srcId="{76A189C0-DE14-4539-BC2E-72021363EFA9}" destId="{4C6A7142-58DE-4F15-9690-876BA056CE45}" srcOrd="1" destOrd="0" parTransId="{FE28579E-E8CF-4AC1-88AF-5A2024AAFAE5}" sibTransId="{63D640D5-75FD-4F5A-B0D4-916DBE0B8B7F}"/>
    <dgm:cxn modelId="{1014A8D7-5BFF-445E-A755-5C618F64A20F}" type="presOf" srcId="{9275BBB7-E6B1-4313-A7FC-7C6E9EFD3DDF}" destId="{5EF1096F-A4F8-4B39-8BE8-E023E3B09B66}" srcOrd="0" destOrd="0" presId="urn:microsoft.com/office/officeart/2005/8/layout/hierarchy4"/>
    <dgm:cxn modelId="{B94B02E2-BE69-4394-B944-6EBCC4A67CCA}" type="presOf" srcId="{76E6DC94-8DFE-4786-A46F-93CB70795C52}" destId="{B15E83F4-33F9-4D6D-B458-55CBD6ADB21A}" srcOrd="0" destOrd="0" presId="urn:microsoft.com/office/officeart/2005/8/layout/hierarchy4"/>
    <dgm:cxn modelId="{3B3F9EE4-879B-441C-BCA7-E60882D299EA}" srcId="{B17B7645-6A5B-46D7-8DDE-D6A32555F27E}" destId="{FA92F749-14BD-4896-9FCA-046C96C728CF}" srcOrd="0" destOrd="0" parTransId="{D149CE2A-EE5E-4454-AF81-E06149060A6A}" sibTransId="{91C5F07A-B253-4DF1-AD2D-2360515B29B8}"/>
    <dgm:cxn modelId="{D0DA5AFD-4A29-40BE-A903-F36C4ECF9C95}" type="presOf" srcId="{FA92F749-14BD-4896-9FCA-046C96C728CF}" destId="{9F7C36AB-C453-4F1B-8334-9EF2BC78917B}" srcOrd="0" destOrd="0" presId="urn:microsoft.com/office/officeart/2005/8/layout/hierarchy4"/>
    <dgm:cxn modelId="{A8CAF9EB-3EA5-4FF7-860C-50003BE6F338}" type="presParOf" srcId="{478816E7-6F26-4B63-B805-F57F78CC8C95}" destId="{F03F315A-DE03-4F5F-9BAE-83DCE48DC0DB}" srcOrd="0" destOrd="0" presId="urn:microsoft.com/office/officeart/2005/8/layout/hierarchy4"/>
    <dgm:cxn modelId="{4FDC426D-B358-4A5C-9D5B-CAF059A9C278}" type="presParOf" srcId="{F03F315A-DE03-4F5F-9BAE-83DCE48DC0DB}" destId="{9F7C36AB-C453-4F1B-8334-9EF2BC78917B}" srcOrd="0" destOrd="0" presId="urn:microsoft.com/office/officeart/2005/8/layout/hierarchy4"/>
    <dgm:cxn modelId="{93D05FB8-7A78-4E55-A4F9-FA4C4CB261A0}" type="presParOf" srcId="{F03F315A-DE03-4F5F-9BAE-83DCE48DC0DB}" destId="{8BBC7AAB-CFF5-40A2-A642-8915B1DEE968}" srcOrd="1" destOrd="0" presId="urn:microsoft.com/office/officeart/2005/8/layout/hierarchy4"/>
    <dgm:cxn modelId="{78663C88-5806-4EA2-985C-AE5DEE203CD8}" type="presParOf" srcId="{F03F315A-DE03-4F5F-9BAE-83DCE48DC0DB}" destId="{40993D26-254D-4F95-BDD5-449D8AF1FBF9}" srcOrd="2" destOrd="0" presId="urn:microsoft.com/office/officeart/2005/8/layout/hierarchy4"/>
    <dgm:cxn modelId="{8793310C-4DB4-426E-8A36-AEA7FB1C56C9}" type="presParOf" srcId="{40993D26-254D-4F95-BDD5-449D8AF1FBF9}" destId="{E501354A-2B55-45D2-8E13-73E99DF296C3}" srcOrd="0" destOrd="0" presId="urn:microsoft.com/office/officeart/2005/8/layout/hierarchy4"/>
    <dgm:cxn modelId="{37D472A1-F3CE-43AB-8F4E-F8DB34BAD3AB}" type="presParOf" srcId="{E501354A-2B55-45D2-8E13-73E99DF296C3}" destId="{915B7333-7C66-4748-9BEF-4BAD8CB91BC8}" srcOrd="0" destOrd="0" presId="urn:microsoft.com/office/officeart/2005/8/layout/hierarchy4"/>
    <dgm:cxn modelId="{304ACE7D-4260-455D-B1C9-DF090F5D908F}" type="presParOf" srcId="{E501354A-2B55-45D2-8E13-73E99DF296C3}" destId="{2516F4F6-D1BB-4E62-8F02-041DCDD18F11}" srcOrd="1" destOrd="0" presId="urn:microsoft.com/office/officeart/2005/8/layout/hierarchy4"/>
    <dgm:cxn modelId="{90696E1C-016E-40D9-AA79-886058487EA8}" type="presParOf" srcId="{E501354A-2B55-45D2-8E13-73E99DF296C3}" destId="{C2DD9402-A8F6-4FB4-8589-A9B1EFE093ED}" srcOrd="2" destOrd="0" presId="urn:microsoft.com/office/officeart/2005/8/layout/hierarchy4"/>
    <dgm:cxn modelId="{E12597F7-AC2B-484A-AFE1-142F94F29984}" type="presParOf" srcId="{C2DD9402-A8F6-4FB4-8589-A9B1EFE093ED}" destId="{419A1B5D-B899-47AA-8811-74121C48624D}" srcOrd="0" destOrd="0" presId="urn:microsoft.com/office/officeart/2005/8/layout/hierarchy4"/>
    <dgm:cxn modelId="{ABB2F986-2B8D-4F89-8FBD-42B7F2F88547}" type="presParOf" srcId="{419A1B5D-B899-47AA-8811-74121C48624D}" destId="{B15E83F4-33F9-4D6D-B458-55CBD6ADB21A}" srcOrd="0" destOrd="0" presId="urn:microsoft.com/office/officeart/2005/8/layout/hierarchy4"/>
    <dgm:cxn modelId="{323ACAD8-E270-43B4-B855-3E4D21E85BF8}" type="presParOf" srcId="{419A1B5D-B899-47AA-8811-74121C48624D}" destId="{892F68B8-1ECD-4DCB-B0B9-DEC7FC2F229E}" srcOrd="1" destOrd="0" presId="urn:microsoft.com/office/officeart/2005/8/layout/hierarchy4"/>
    <dgm:cxn modelId="{E9DE7D11-277B-48EE-BBCF-AE69C5113465}" type="presParOf" srcId="{C2DD9402-A8F6-4FB4-8589-A9B1EFE093ED}" destId="{4BCE528C-1DDE-4EB9-B0BA-FCCA2E2E5C19}" srcOrd="1" destOrd="0" presId="urn:microsoft.com/office/officeart/2005/8/layout/hierarchy4"/>
    <dgm:cxn modelId="{B43C71AC-E136-4848-808D-6A7B3FB3B30F}" type="presParOf" srcId="{C2DD9402-A8F6-4FB4-8589-A9B1EFE093ED}" destId="{D4A5FEB3-0F2C-413B-9F08-5E85AFE69B95}" srcOrd="2" destOrd="0" presId="urn:microsoft.com/office/officeart/2005/8/layout/hierarchy4"/>
    <dgm:cxn modelId="{E9087678-BB40-41B3-843F-071F07153C99}" type="presParOf" srcId="{D4A5FEB3-0F2C-413B-9F08-5E85AFE69B95}" destId="{BB761CC0-27D4-49F6-BF9C-9DE9DD9644BF}" srcOrd="0" destOrd="0" presId="urn:microsoft.com/office/officeart/2005/8/layout/hierarchy4"/>
    <dgm:cxn modelId="{D7926F6C-ED48-4E31-94AA-266F273EE695}" type="presParOf" srcId="{D4A5FEB3-0F2C-413B-9F08-5E85AFE69B95}" destId="{358908AB-D6CF-426C-8BD8-92D7D6DC1B8A}" srcOrd="1" destOrd="0" presId="urn:microsoft.com/office/officeart/2005/8/layout/hierarchy4"/>
    <dgm:cxn modelId="{A63B04A1-8693-4C78-A65C-53E13D42ED38}" type="presParOf" srcId="{40993D26-254D-4F95-BDD5-449D8AF1FBF9}" destId="{6C1BA6B6-38D1-472F-9579-DECF076CA544}" srcOrd="1" destOrd="0" presId="urn:microsoft.com/office/officeart/2005/8/layout/hierarchy4"/>
    <dgm:cxn modelId="{F40EBC2A-DA88-49C7-A7B2-48620C63734D}" type="presParOf" srcId="{40993D26-254D-4F95-BDD5-449D8AF1FBF9}" destId="{E8551CF4-2071-4A38-BA28-76C3B51FD29A}" srcOrd="2" destOrd="0" presId="urn:microsoft.com/office/officeart/2005/8/layout/hierarchy4"/>
    <dgm:cxn modelId="{5844A9CA-C332-4A09-B2FE-361415AC469D}" type="presParOf" srcId="{E8551CF4-2071-4A38-BA28-76C3B51FD29A}" destId="{5EF1096F-A4F8-4B39-8BE8-E023E3B09B66}" srcOrd="0" destOrd="0" presId="urn:microsoft.com/office/officeart/2005/8/layout/hierarchy4"/>
    <dgm:cxn modelId="{636DA6D2-AB6A-472B-B681-D5C799EA1C45}" type="presParOf" srcId="{E8551CF4-2071-4A38-BA28-76C3B51FD29A}" destId="{D063144B-B7DE-4EAE-937D-E1F2981CC442}" srcOrd="1" destOrd="0" presId="urn:microsoft.com/office/officeart/2005/8/layout/hierarchy4"/>
    <dgm:cxn modelId="{87C49AD4-6257-4DB8-B790-9C0695E251FB}" type="presParOf" srcId="{E8551CF4-2071-4A38-BA28-76C3B51FD29A}" destId="{EFC6A166-3F5B-4381-9514-E2A9C780A4B1}" srcOrd="2" destOrd="0" presId="urn:microsoft.com/office/officeart/2005/8/layout/hierarchy4"/>
    <dgm:cxn modelId="{1861DF5F-562E-4733-AFA9-87D50B00102D}" type="presParOf" srcId="{EFC6A166-3F5B-4381-9514-E2A9C780A4B1}" destId="{F92724DF-8FFE-404F-950C-9EB6836A2EF6}" srcOrd="0" destOrd="0" presId="urn:microsoft.com/office/officeart/2005/8/layout/hierarchy4"/>
    <dgm:cxn modelId="{B9D9D685-A3AF-4173-8DE6-BB236AB8D9FB}" type="presParOf" srcId="{F92724DF-8FFE-404F-950C-9EB6836A2EF6}" destId="{BDD39C68-12C4-4FC1-9BDC-80D688092F65}" srcOrd="0" destOrd="0" presId="urn:microsoft.com/office/officeart/2005/8/layout/hierarchy4"/>
    <dgm:cxn modelId="{B3EC7046-BDC2-4E81-B4BC-E89F53B35CA2}" type="presParOf" srcId="{F92724DF-8FFE-404F-950C-9EB6836A2EF6}" destId="{90EB320F-1BAB-48E7-9596-B691E97ABFF6}" srcOrd="1" destOrd="0" presId="urn:microsoft.com/office/officeart/2005/8/layout/hierarchy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5D7484-1ADD-4A5F-82AF-F7E9607D5638}">
      <dsp:nvSpPr>
        <dsp:cNvPr id="0" name=""/>
        <dsp:cNvSpPr/>
      </dsp:nvSpPr>
      <dsp:spPr>
        <a:xfrm>
          <a:off x="690804" y="0"/>
          <a:ext cx="2839654" cy="2563906"/>
        </a:xfrm>
        <a:prstGeom prst="ellipse">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ysClr val="window" lastClr="FFFFFF">
              <a:lumMod val="75000"/>
            </a:sysClr>
          </a:solidFill>
          <a:prstDash val="lgDash"/>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ctr" anchorCtr="0">
          <a:noAutofit/>
        </a:bodyPr>
        <a:lstStyle/>
        <a:p>
          <a:pPr marL="0" lvl="0" indent="0" algn="ctr" defTabSz="355600">
            <a:lnSpc>
              <a:spcPct val="100000"/>
            </a:lnSpc>
            <a:spcBef>
              <a:spcPct val="0"/>
            </a:spcBef>
            <a:spcAft>
              <a:spcPts val="0"/>
            </a:spcAft>
            <a:buNone/>
          </a:pPr>
          <a:r>
            <a:rPr lang="en-GB" sz="800" b="1" kern="1200">
              <a:solidFill>
                <a:sysClr val="windowText" lastClr="000000">
                  <a:hueOff val="0"/>
                  <a:satOff val="0"/>
                  <a:lumOff val="0"/>
                  <a:alphaOff val="0"/>
                </a:sysClr>
              </a:solidFill>
              <a:latin typeface="Calibri"/>
              <a:ea typeface="+mn-ea"/>
              <a:cs typeface="+mn-cs"/>
            </a:rPr>
            <a:t>Level 1</a:t>
          </a:r>
        </a:p>
        <a:p>
          <a:pPr marL="0" lvl="0" indent="0" algn="ctr" defTabSz="355600">
            <a:lnSpc>
              <a:spcPct val="100000"/>
            </a:lnSpc>
            <a:spcBef>
              <a:spcPct val="0"/>
            </a:spcBef>
            <a:spcAft>
              <a:spcPts val="0"/>
            </a:spcAft>
            <a:buNone/>
          </a:pPr>
          <a:r>
            <a:rPr lang="en-GB" sz="800" kern="1200">
              <a:solidFill>
                <a:sysClr val="windowText" lastClr="000000">
                  <a:hueOff val="0"/>
                  <a:satOff val="0"/>
                  <a:lumOff val="0"/>
                  <a:alphaOff val="0"/>
                </a:sysClr>
              </a:solidFill>
              <a:latin typeface="Calibri"/>
              <a:ea typeface="+mn-ea"/>
              <a:cs typeface="+mn-cs"/>
            </a:rPr>
            <a:t>University Pathway Division Europe</a:t>
          </a:r>
        </a:p>
      </dsp:txBody>
      <dsp:txXfrm>
        <a:off x="1713647" y="128195"/>
        <a:ext cx="793967" cy="384585"/>
      </dsp:txXfrm>
    </dsp:sp>
    <dsp:sp modelId="{AF3BB8A3-E5B8-4CBE-A3C0-4FD7359FC963}">
      <dsp:nvSpPr>
        <dsp:cNvPr id="0" name=""/>
        <dsp:cNvSpPr/>
      </dsp:nvSpPr>
      <dsp:spPr>
        <a:xfrm>
          <a:off x="1130655" y="590211"/>
          <a:ext cx="1964054" cy="1973694"/>
        </a:xfrm>
        <a:prstGeom prst="ellipse">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ysClr val="window" lastClr="FFFFFF">
              <a:lumMod val="75000"/>
            </a:sys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ctr" anchorCtr="0">
          <a:noAutofit/>
        </a:bodyPr>
        <a:lstStyle/>
        <a:p>
          <a:pPr marL="0" lvl="0" indent="0" algn="ctr" defTabSz="355600">
            <a:lnSpc>
              <a:spcPct val="100000"/>
            </a:lnSpc>
            <a:spcBef>
              <a:spcPct val="0"/>
            </a:spcBef>
            <a:spcAft>
              <a:spcPts val="0"/>
            </a:spcAft>
            <a:buNone/>
          </a:pPr>
          <a:r>
            <a:rPr lang="en-GB" sz="800" b="1" kern="1200">
              <a:solidFill>
                <a:sysClr val="windowText" lastClr="000000">
                  <a:hueOff val="0"/>
                  <a:satOff val="0"/>
                  <a:lumOff val="0"/>
                  <a:alphaOff val="0"/>
                </a:sysClr>
              </a:solidFill>
              <a:latin typeface="Calibri"/>
              <a:ea typeface="+mn-ea"/>
              <a:cs typeface="+mn-cs"/>
            </a:rPr>
            <a:t>Level 2</a:t>
          </a:r>
        </a:p>
        <a:p>
          <a:pPr marL="0" lvl="0" indent="0" algn="ctr" defTabSz="355600">
            <a:lnSpc>
              <a:spcPct val="100000"/>
            </a:lnSpc>
            <a:spcBef>
              <a:spcPct val="0"/>
            </a:spcBef>
            <a:spcAft>
              <a:spcPts val="0"/>
            </a:spcAft>
            <a:buNone/>
          </a:pPr>
          <a:r>
            <a:rPr lang="en-GB" sz="800" b="0" kern="1200">
              <a:solidFill>
                <a:sysClr val="windowText" lastClr="000000">
                  <a:hueOff val="0"/>
                  <a:satOff val="0"/>
                  <a:lumOff val="0"/>
                  <a:alphaOff val="0"/>
                </a:sysClr>
              </a:solidFill>
              <a:latin typeface="Calibri"/>
              <a:ea typeface="+mn-ea"/>
              <a:cs typeface="+mn-cs"/>
            </a:rPr>
            <a:t>Quality and Standards Office Europe</a:t>
          </a:r>
        </a:p>
      </dsp:txBody>
      <dsp:txXfrm>
        <a:off x="1769463" y="708632"/>
        <a:ext cx="686437" cy="355265"/>
      </dsp:txXfrm>
    </dsp:sp>
    <dsp:sp modelId="{F2DCA526-8208-40F6-B610-6E347F0758A3}">
      <dsp:nvSpPr>
        <dsp:cNvPr id="0" name=""/>
        <dsp:cNvSpPr/>
      </dsp:nvSpPr>
      <dsp:spPr>
        <a:xfrm>
          <a:off x="1277277" y="1249975"/>
          <a:ext cx="1670810" cy="1313930"/>
        </a:xfrm>
        <a:prstGeom prst="ellipse">
          <a:avLst/>
        </a:prstGeom>
        <a:solidFill>
          <a:srgbClr val="9BBB59">
            <a:lumMod val="20000"/>
            <a:lumOff val="80000"/>
          </a:srgbClr>
        </a:solidFill>
        <a:ln>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ctr" anchorCtr="0">
          <a:noAutofit/>
        </a:bodyPr>
        <a:lstStyle/>
        <a:p>
          <a:pPr marL="0" lvl="0" indent="0" algn="ctr" defTabSz="355600">
            <a:lnSpc>
              <a:spcPct val="100000"/>
            </a:lnSpc>
            <a:spcBef>
              <a:spcPct val="0"/>
            </a:spcBef>
            <a:spcAft>
              <a:spcPts val="0"/>
            </a:spcAft>
            <a:buNone/>
          </a:pPr>
          <a:r>
            <a:rPr lang="en-GB" sz="800" b="1" kern="1200">
              <a:solidFill>
                <a:sysClr val="windowText" lastClr="000000">
                  <a:hueOff val="0"/>
                  <a:satOff val="0"/>
                  <a:lumOff val="0"/>
                  <a:alphaOff val="0"/>
                </a:sysClr>
              </a:solidFill>
              <a:latin typeface="Calibri"/>
              <a:ea typeface="+mn-ea"/>
              <a:cs typeface="+mn-cs"/>
            </a:rPr>
            <a:t>Level 3</a:t>
          </a:r>
        </a:p>
        <a:p>
          <a:pPr marL="0" lvl="0" indent="0" algn="ctr" defTabSz="355600">
            <a:lnSpc>
              <a:spcPct val="100000"/>
            </a:lnSpc>
            <a:spcBef>
              <a:spcPct val="0"/>
            </a:spcBef>
            <a:spcAft>
              <a:spcPts val="0"/>
            </a:spcAft>
            <a:buNone/>
          </a:pPr>
          <a:r>
            <a:rPr lang="en-GB" sz="800" kern="1200">
              <a:solidFill>
                <a:sysClr val="windowText" lastClr="000000">
                  <a:hueOff val="0"/>
                  <a:satOff val="0"/>
                  <a:lumOff val="0"/>
                  <a:alphaOff val="0"/>
                </a:sysClr>
              </a:solidFill>
              <a:latin typeface="Calibri"/>
              <a:ea typeface="+mn-ea"/>
              <a:cs typeface="+mn-cs"/>
            </a:rPr>
            <a:t>Partner University</a:t>
          </a:r>
        </a:p>
      </dsp:txBody>
      <dsp:txXfrm>
        <a:off x="1723383" y="1348520"/>
        <a:ext cx="778597" cy="295634"/>
      </dsp:txXfrm>
    </dsp:sp>
    <dsp:sp modelId="{61FF3E3F-3539-4293-9E58-36DE00107BBB}">
      <dsp:nvSpPr>
        <dsp:cNvPr id="0" name=""/>
        <dsp:cNvSpPr/>
      </dsp:nvSpPr>
      <dsp:spPr>
        <a:xfrm>
          <a:off x="1668275" y="1789893"/>
          <a:ext cx="927518" cy="774012"/>
        </a:xfrm>
        <a:prstGeom prst="ellipse">
          <a:avLst/>
        </a:prstGeom>
        <a:solidFill>
          <a:srgbClr val="9BBB59">
            <a:lumMod val="40000"/>
            <a:lumOff val="60000"/>
          </a:srgbClr>
        </a:solidFill>
        <a:ln>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ctr" anchorCtr="0">
          <a:noAutofit/>
        </a:bodyPr>
        <a:lstStyle/>
        <a:p>
          <a:pPr marL="0" lvl="0" indent="0" algn="ctr" defTabSz="355600">
            <a:lnSpc>
              <a:spcPct val="100000"/>
            </a:lnSpc>
            <a:spcBef>
              <a:spcPct val="0"/>
            </a:spcBef>
            <a:spcAft>
              <a:spcPts val="0"/>
            </a:spcAft>
            <a:buNone/>
          </a:pPr>
          <a:r>
            <a:rPr lang="en-GB" sz="800" b="1" kern="1200">
              <a:solidFill>
                <a:sysClr val="windowText" lastClr="000000">
                  <a:hueOff val="0"/>
                  <a:satOff val="0"/>
                  <a:lumOff val="0"/>
                  <a:alphaOff val="0"/>
                </a:sysClr>
              </a:solidFill>
              <a:latin typeface="Calibri"/>
              <a:ea typeface="+mn-ea"/>
              <a:cs typeface="+mn-cs"/>
            </a:rPr>
            <a:t>Level 4</a:t>
          </a:r>
        </a:p>
        <a:p>
          <a:pPr marL="0" lvl="0" indent="0" algn="ctr" defTabSz="355600">
            <a:lnSpc>
              <a:spcPct val="100000"/>
            </a:lnSpc>
            <a:spcBef>
              <a:spcPct val="0"/>
            </a:spcBef>
            <a:spcAft>
              <a:spcPts val="0"/>
            </a:spcAft>
            <a:buNone/>
          </a:pPr>
          <a:r>
            <a:rPr lang="en-GB" sz="800" kern="1200">
              <a:solidFill>
                <a:sysClr val="windowText" lastClr="000000">
                  <a:hueOff val="0"/>
                  <a:satOff val="0"/>
                  <a:lumOff val="0"/>
                  <a:alphaOff val="0"/>
                </a:sysClr>
              </a:solidFill>
              <a:latin typeface="Calibri"/>
              <a:ea typeface="+mn-ea"/>
              <a:cs typeface="+mn-cs"/>
            </a:rPr>
            <a:t>College</a:t>
          </a:r>
        </a:p>
      </dsp:txBody>
      <dsp:txXfrm>
        <a:off x="1804107" y="1983396"/>
        <a:ext cx="655854" cy="3870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7C36AB-C453-4F1B-8334-9EF2BC78917B}">
      <dsp:nvSpPr>
        <dsp:cNvPr id="0" name=""/>
        <dsp:cNvSpPr/>
      </dsp:nvSpPr>
      <dsp:spPr>
        <a:xfrm>
          <a:off x="799" y="0"/>
          <a:ext cx="3484058" cy="378210"/>
        </a:xfrm>
        <a:prstGeom prst="roundRect">
          <a:avLst>
            <a:gd name="adj" fmla="val 10000"/>
          </a:avLst>
        </a:prstGeom>
        <a:solidFill>
          <a:srgbClr val="9BBB59">
            <a:alpha val="8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solidFill>
              <a:latin typeface="Calibri"/>
              <a:ea typeface="+mn-ea"/>
              <a:cs typeface="+mn-cs"/>
            </a:rPr>
            <a:t>Business Pathway</a:t>
          </a:r>
        </a:p>
      </dsp:txBody>
      <dsp:txXfrm>
        <a:off x="11876" y="11077"/>
        <a:ext cx="3461904" cy="356056"/>
      </dsp:txXfrm>
    </dsp:sp>
    <dsp:sp modelId="{915B7333-7C66-4748-9BEF-4BAD8CB91BC8}">
      <dsp:nvSpPr>
        <dsp:cNvPr id="0" name=""/>
        <dsp:cNvSpPr/>
      </dsp:nvSpPr>
      <dsp:spPr>
        <a:xfrm>
          <a:off x="399" y="437574"/>
          <a:ext cx="2275894" cy="378210"/>
        </a:xfrm>
        <a:prstGeom prst="roundRect">
          <a:avLst>
            <a:gd name="adj" fmla="val 10000"/>
          </a:avLst>
        </a:prstGeom>
        <a:solidFill>
          <a:srgbClr val="9BBB59">
            <a:alpha val="7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a:ea typeface="+mn-ea"/>
              <a:cs typeface="+mn-cs"/>
            </a:rPr>
            <a:t>... in Management</a:t>
          </a:r>
        </a:p>
      </dsp:txBody>
      <dsp:txXfrm>
        <a:off x="11476" y="448651"/>
        <a:ext cx="2253740" cy="356056"/>
      </dsp:txXfrm>
    </dsp:sp>
    <dsp:sp modelId="{B15E83F4-33F9-4D6D-B458-55CBD6ADB21A}">
      <dsp:nvSpPr>
        <dsp:cNvPr id="0" name=""/>
        <dsp:cNvSpPr/>
      </dsp:nvSpPr>
      <dsp:spPr>
        <a:xfrm>
          <a:off x="0" y="875148"/>
          <a:ext cx="1114541" cy="378210"/>
        </a:xfrm>
        <a:prstGeom prst="roundRect">
          <a:avLst>
            <a:gd name="adj" fmla="val 10000"/>
          </a:avLst>
        </a:prstGeo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Calibri"/>
              <a:ea typeface="+mn-ea"/>
              <a:cs typeface="+mn-cs"/>
            </a:rPr>
            <a:t>Management Stream</a:t>
          </a:r>
        </a:p>
      </dsp:txBody>
      <dsp:txXfrm>
        <a:off x="11077" y="886225"/>
        <a:ext cx="1092387" cy="356056"/>
      </dsp:txXfrm>
    </dsp:sp>
    <dsp:sp modelId="{BB761CC0-27D4-49F6-BF9C-9DE9DD9644BF}">
      <dsp:nvSpPr>
        <dsp:cNvPr id="0" name=""/>
        <dsp:cNvSpPr/>
      </dsp:nvSpPr>
      <dsp:spPr>
        <a:xfrm>
          <a:off x="1161752" y="874673"/>
          <a:ext cx="1114541" cy="378210"/>
        </a:xfrm>
        <a:prstGeom prst="roundRect">
          <a:avLst>
            <a:gd name="adj" fmla="val 10000"/>
          </a:avLst>
        </a:prstGeo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Calibri"/>
              <a:ea typeface="+mn-ea"/>
              <a:cs typeface="+mn-cs"/>
            </a:rPr>
            <a:t>Tourism Stream</a:t>
          </a:r>
        </a:p>
      </dsp:txBody>
      <dsp:txXfrm>
        <a:off x="1172829" y="885750"/>
        <a:ext cx="1092387" cy="356056"/>
      </dsp:txXfrm>
    </dsp:sp>
    <dsp:sp modelId="{5EF1096F-A4F8-4B39-8BE8-E023E3B09B66}">
      <dsp:nvSpPr>
        <dsp:cNvPr id="0" name=""/>
        <dsp:cNvSpPr/>
      </dsp:nvSpPr>
      <dsp:spPr>
        <a:xfrm>
          <a:off x="2370316" y="437574"/>
          <a:ext cx="1114541" cy="378210"/>
        </a:xfrm>
        <a:prstGeom prst="roundRect">
          <a:avLst>
            <a:gd name="adj" fmla="val 10000"/>
          </a:avLst>
        </a:prstGeom>
        <a:solidFill>
          <a:srgbClr val="9BBB59">
            <a:alpha val="7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a:ea typeface="+mn-ea"/>
              <a:cs typeface="+mn-cs"/>
            </a:rPr>
            <a:t>... in Economics</a:t>
          </a:r>
        </a:p>
      </dsp:txBody>
      <dsp:txXfrm>
        <a:off x="2381393" y="448651"/>
        <a:ext cx="1092387" cy="356056"/>
      </dsp:txXfrm>
    </dsp:sp>
    <dsp:sp modelId="{BDD39C68-12C4-4FC1-9BDC-80D688092F65}">
      <dsp:nvSpPr>
        <dsp:cNvPr id="0" name=""/>
        <dsp:cNvSpPr/>
      </dsp:nvSpPr>
      <dsp:spPr>
        <a:xfrm>
          <a:off x="2369916" y="874673"/>
          <a:ext cx="1114541" cy="378210"/>
        </a:xfrm>
        <a:prstGeom prst="roundRect">
          <a:avLst>
            <a:gd name="adj" fmla="val 10000"/>
          </a:avLst>
        </a:prstGeo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Calibri"/>
              <a:ea typeface="+mn-ea"/>
              <a:cs typeface="+mn-cs"/>
            </a:rPr>
            <a:t>Economics Stream</a:t>
          </a:r>
        </a:p>
      </dsp:txBody>
      <dsp:txXfrm>
        <a:off x="2380993" y="885750"/>
        <a:ext cx="1092387" cy="356056"/>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rea xmlns="b18c147b-bd57-4db4-ac01-934ff06023dc">
      <Value>NUK</Value>
    </Area>
    <Category xmlns="a92f4382-57bb-404a-8e99-bc9b3efe82f0">
      <Value>CPR</Value>
    </Category>
    <Site xmlns="b18c147b-bd57-4db4-ac01-934ff06023dc">NVT UK</Site>
    <Doc_x0020_Number xmlns="b18c147b-bd57-4db4-ac01-934ff06023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olicy" ma:contentTypeID="0x010100C71483F39376BC4C9EE2EB77A4DEE0E001003987FB1CDCA8E347B8F25BFAD7BEBA49" ma:contentTypeVersion="5" ma:contentTypeDescription="Policy Document" ma:contentTypeScope="" ma:versionID="9fb5b8edb34eba41fe063548eee2d06e">
  <xsd:schema xmlns:xsd="http://www.w3.org/2001/XMLSchema" xmlns:p="http://schemas.microsoft.com/office/2006/metadata/properties" xmlns:ns2="b18c147b-bd57-4db4-ac01-934ff06023dc" xmlns:ns3="a92f4382-57bb-404a-8e99-bc9b3efe82f0" targetNamespace="http://schemas.microsoft.com/office/2006/metadata/properties" ma:root="true" ma:fieldsID="2d20adca102cbbff58922d9fe6edda72" ns2:_="" ns3:_="">
    <xsd:import namespace="b18c147b-bd57-4db4-ac01-934ff06023dc"/>
    <xsd:import namespace="a92f4382-57bb-404a-8e99-bc9b3efe82f0"/>
    <xsd:element name="properties">
      <xsd:complexType>
        <xsd:sequence>
          <xsd:element name="documentManagement">
            <xsd:complexType>
              <xsd:all>
                <xsd:element ref="ns2:Area" minOccurs="0"/>
                <xsd:element ref="ns3:Category" minOccurs="0"/>
                <xsd:element ref="ns2:Doc_x0020_Number" minOccurs="0"/>
                <xsd:element ref="ns2:Site" minOccurs="0"/>
              </xsd:all>
            </xsd:complexType>
          </xsd:element>
        </xsd:sequence>
      </xsd:complexType>
    </xsd:element>
  </xsd:schema>
  <xsd:schema xmlns:xsd="http://www.w3.org/2001/XMLSchema" xmlns:dms="http://schemas.microsoft.com/office/2006/documentManagement/types" targetNamespace="b18c147b-bd57-4db4-ac01-934ff06023dc" elementFormDefault="qualified">
    <xsd:import namespace="http://schemas.microsoft.com/office/2006/documentManagement/types"/>
    <xsd:element name="Area" ma:index="1" nillable="true" ma:displayName="Area" ma:default="HR" ma:description="Business Area" ma:internalName="Area" ma:readOnly="false">
      <xsd:complexType>
        <xsd:complexContent>
          <xsd:extension base="dms:MultiChoice">
            <xsd:sequence>
              <xsd:element name="Value" maxOccurs="unbounded" minOccurs="0" nillable="true">
                <xsd:simpleType>
                  <xsd:restriction base="dms:Choice">
                    <xsd:enumeration value="HR"/>
                    <xsd:enumeration value="ICT"/>
                    <xsd:enumeration value="LAT"/>
                    <xsd:enumeration value="NUK"/>
                    <xsd:enumeration value="OPS"/>
                    <xsd:enumeration value="OSH"/>
                    <xsd:enumeration value="SYS"/>
                  </xsd:restriction>
                </xsd:simpleType>
              </xsd:element>
            </xsd:sequence>
          </xsd:extension>
        </xsd:complexContent>
      </xsd:complexType>
    </xsd:element>
    <xsd:element name="Doc_x0020_Number" ma:index="3" nillable="true" ma:displayName="Doc No" ma:description="Document Number" ma:internalName="Doc_x0020_Number" ma:percentage="FALSE">
      <xsd:simpleType>
        <xsd:restriction base="dms:Number"/>
      </xsd:simpleType>
    </xsd:element>
    <xsd:element name="Site" ma:index="4" nillable="true" ma:displayName="Site" ma:default="CRIC" ma:description="Site/College/Business Unit" ma:format="Dropdown" ma:internalName="Site">
      <xsd:simpleType>
        <xsd:restriction base="dms:Choice">
          <xsd:enumeration value="CRIC"/>
          <xsd:enumeration value="EIC"/>
          <xsd:enumeration value="HIBT"/>
          <xsd:enumeration value="ICP"/>
          <xsd:enumeration value="ICRGU"/>
          <xsd:enumeration value="ICWS"/>
          <xsd:enumeration value="LIBT"/>
          <xsd:enumeration value="NVT UK"/>
          <xsd:enumeration value="PDIC"/>
        </xsd:restriction>
      </xsd:simpleType>
    </xsd:element>
  </xsd:schema>
  <xsd:schema xmlns:xsd="http://www.w3.org/2001/XMLSchema" xmlns:dms="http://schemas.microsoft.com/office/2006/documentManagement/types" targetNamespace="a92f4382-57bb-404a-8e99-bc9b3efe82f0" elementFormDefault="qualified">
    <xsd:import namespace="http://schemas.microsoft.com/office/2006/documentManagement/types"/>
    <xsd:element name="Category" ma:index="2" nillable="true" ma:displayName="Category" ma:default="Academic" ma:description="Category" ma:internalName="Category" ma:requiredMultiChoice="true">
      <xsd:complexType>
        <xsd:complexContent>
          <xsd:extension base="dms:MultiChoice">
            <xsd:sequence>
              <xsd:element name="Value" maxOccurs="unbounded" minOccurs="0" nillable="true">
                <xsd:simpleType>
                  <xsd:restriction base="dms:Choice">
                    <xsd:enumeration value="Academic"/>
                    <xsd:enumeration value="Admission"/>
                    <xsd:enumeration value="Company Handbook"/>
                    <xsd:enumeration value="CPR"/>
                    <xsd:enumeration value="Finance"/>
                    <xsd:enumeration value="Marketing"/>
                    <xsd:enumeration value="Operations Manual"/>
                    <xsd:enumeration value="Processes"/>
                    <xsd:enumeration value="Student Support Services"/>
                    <xsd:enumeration value="Training"/>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DCC4-D8BF-4A30-ADFE-D00676A44905}">
  <ds:schemaRefs>
    <ds:schemaRef ds:uri="http://schemas.microsoft.com/sharepoint/v3/contenttype/forms"/>
  </ds:schemaRefs>
</ds:datastoreItem>
</file>

<file path=customXml/itemProps2.xml><?xml version="1.0" encoding="utf-8"?>
<ds:datastoreItem xmlns:ds="http://schemas.openxmlformats.org/officeDocument/2006/customXml" ds:itemID="{8BA73600-E571-4E82-A405-ECEC4E1FA6C9}">
  <ds:schemaRefs>
    <ds:schemaRef ds:uri="http://schemas.microsoft.com/office/2006/metadata/properties"/>
    <ds:schemaRef ds:uri="b18c147b-bd57-4db4-ac01-934ff06023dc"/>
    <ds:schemaRef ds:uri="a92f4382-57bb-404a-8e99-bc9b3efe82f0"/>
  </ds:schemaRefs>
</ds:datastoreItem>
</file>

<file path=customXml/itemProps3.xml><?xml version="1.0" encoding="utf-8"?>
<ds:datastoreItem xmlns:ds="http://schemas.openxmlformats.org/officeDocument/2006/customXml" ds:itemID="{EBE2B266-2318-4616-96FE-0C7081424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c147b-bd57-4db4-ac01-934ff06023dc"/>
    <ds:schemaRef ds:uri="a92f4382-57bb-404a-8e99-bc9b3efe82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4E8DA7-8C6A-46A6-950B-4D1311D3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9161</Words>
  <Characters>52224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NVT UK</dc:creator>
  <cp:lastModifiedBy>Wendy Funnell</cp:lastModifiedBy>
  <cp:revision>2</cp:revision>
  <cp:lastPrinted>2014-02-18T13:09:00Z</cp:lastPrinted>
  <dcterms:created xsi:type="dcterms:W3CDTF">2019-04-17T14:39:00Z</dcterms:created>
  <dcterms:modified xsi:type="dcterms:W3CDTF">2019-04-17T14:39:00Z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0x010100C71483F39376BC4C9EE2EB77A4DEE0E001003987FB1CDCA8E347B8F25BFAD7BEBA49</vt:lpwstr>
  </property>
</Properties>
</file>